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355B" w14:textId="77777777" w:rsidR="00EE54DB" w:rsidRPr="008B3127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color w:val="000000"/>
          <w:kern w:val="1"/>
        </w:rPr>
        <w:t>Smlouva o dílo</w:t>
      </w:r>
    </w:p>
    <w:p w14:paraId="1B0452F6" w14:textId="7C6BCF94" w:rsidR="00EE54DB" w:rsidRPr="008B3127" w:rsidRDefault="00EE54DB" w:rsidP="00EE54DB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color w:val="000000"/>
          <w:kern w:val="1"/>
        </w:rPr>
        <w:t>(dle §2586 a násl. zák. 89/2012 Sb. občanského zákoníku v platném znění)</w:t>
      </w:r>
    </w:p>
    <w:p w14:paraId="6DAD946E" w14:textId="77777777" w:rsidR="00EE54DB" w:rsidRPr="008B3127" w:rsidRDefault="00EE54D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367390CB" w14:textId="4C1DCBB0" w:rsidR="00321707" w:rsidRDefault="00321707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kern w:val="1"/>
        </w:rPr>
      </w:pPr>
      <w:r>
        <w:rPr>
          <w:rFonts w:eastAsia="Arial Unicode MS" w:cstheme="minorHAnsi"/>
          <w:b/>
          <w:bCs/>
          <w:kern w:val="1"/>
        </w:rPr>
        <w:t xml:space="preserve">Článek </w:t>
      </w:r>
      <w:r w:rsidRPr="00321707">
        <w:rPr>
          <w:rFonts w:eastAsia="Arial Unicode MS" w:cstheme="minorHAnsi"/>
          <w:b/>
          <w:bCs/>
          <w:kern w:val="1"/>
        </w:rPr>
        <w:t xml:space="preserve">I. </w:t>
      </w:r>
    </w:p>
    <w:p w14:paraId="635BB6F0" w14:textId="645F989E" w:rsidR="0044313E" w:rsidRPr="00321707" w:rsidRDefault="00321707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kern w:val="1"/>
        </w:rPr>
      </w:pPr>
      <w:r>
        <w:rPr>
          <w:rFonts w:eastAsia="Arial Unicode MS" w:cstheme="minorHAnsi"/>
          <w:b/>
          <w:bCs/>
          <w:kern w:val="1"/>
        </w:rPr>
        <w:t>S</w:t>
      </w:r>
      <w:r w:rsidR="0044313E" w:rsidRPr="00321707">
        <w:rPr>
          <w:rFonts w:eastAsia="Arial Unicode MS" w:cstheme="minorHAnsi"/>
          <w:b/>
          <w:bCs/>
          <w:kern w:val="1"/>
        </w:rPr>
        <w:t>mluvní strany</w:t>
      </w:r>
    </w:p>
    <w:p w14:paraId="50860A99" w14:textId="77777777" w:rsidR="0044313E" w:rsidRPr="008B3127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</w:p>
    <w:p w14:paraId="3E063EF6" w14:textId="77777777" w:rsidR="004000AF" w:rsidRDefault="004000AF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4000AF">
        <w:rPr>
          <w:rFonts w:eastAsia="Arial Unicode MS" w:cstheme="minorHAnsi"/>
          <w:b/>
          <w:bCs/>
          <w:color w:val="000000"/>
          <w:kern w:val="1"/>
        </w:rPr>
        <w:t>Marek Šimkovský</w:t>
      </w:r>
    </w:p>
    <w:p w14:paraId="1E6E3D74" w14:textId="5E7C565D" w:rsidR="004000AF" w:rsidRDefault="00ED764F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XXX</w:t>
      </w:r>
      <w:r w:rsidR="004000AF" w:rsidRPr="004000AF">
        <w:rPr>
          <w:rFonts w:eastAsia="Arial Unicode MS" w:cstheme="minorHAnsi"/>
          <w:color w:val="000000"/>
          <w:kern w:val="1"/>
        </w:rPr>
        <w:t>,</w:t>
      </w:r>
    </w:p>
    <w:p w14:paraId="56EBCA0D" w14:textId="5D78830A" w:rsidR="004000AF" w:rsidRDefault="004000AF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4000AF">
        <w:rPr>
          <w:rFonts w:eastAsia="Arial Unicode MS" w:cstheme="minorHAnsi"/>
          <w:color w:val="000000"/>
          <w:kern w:val="1"/>
        </w:rPr>
        <w:t>IČ</w:t>
      </w:r>
      <w:r>
        <w:rPr>
          <w:rFonts w:eastAsia="Arial Unicode MS" w:cstheme="minorHAnsi"/>
          <w:color w:val="000000"/>
          <w:kern w:val="1"/>
        </w:rPr>
        <w:t>:</w:t>
      </w:r>
      <w:r w:rsidRPr="004000AF">
        <w:rPr>
          <w:rFonts w:eastAsia="Arial Unicode MS" w:cstheme="minorHAnsi"/>
          <w:color w:val="000000"/>
          <w:kern w:val="1"/>
        </w:rPr>
        <w:t xml:space="preserve"> 04856279</w:t>
      </w:r>
    </w:p>
    <w:p w14:paraId="2B7C3123" w14:textId="0C94B7B3" w:rsidR="00A34EF3" w:rsidRDefault="00A34EF3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E21AD9">
        <w:rPr>
          <w:rFonts w:eastAsia="Arial Unicode MS" w:cstheme="minorHAnsi"/>
          <w:color w:val="000000"/>
          <w:kern w:val="1"/>
        </w:rPr>
        <w:t>Bankovní spojení:</w:t>
      </w:r>
      <w:r w:rsidR="00545AF9" w:rsidRPr="00E21AD9">
        <w:rPr>
          <w:rFonts w:eastAsia="Arial Unicode MS" w:cstheme="minorHAnsi"/>
          <w:color w:val="000000"/>
          <w:kern w:val="1"/>
        </w:rPr>
        <w:t xml:space="preserve"> </w:t>
      </w:r>
      <w:r w:rsidR="00ED764F">
        <w:rPr>
          <w:rFonts w:eastAsia="Arial Unicode MS" w:cstheme="minorHAnsi"/>
          <w:color w:val="000000"/>
          <w:kern w:val="1"/>
        </w:rPr>
        <w:t>XXX</w:t>
      </w:r>
    </w:p>
    <w:p w14:paraId="45A772FE" w14:textId="40580A6B" w:rsidR="004000AF" w:rsidRDefault="00A34EF3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K</w:t>
      </w:r>
      <w:r w:rsidR="004000AF" w:rsidRPr="004000AF">
        <w:rPr>
          <w:rFonts w:eastAsia="Arial Unicode MS" w:cstheme="minorHAnsi"/>
          <w:color w:val="000000"/>
          <w:kern w:val="1"/>
        </w:rPr>
        <w:t>ontaktní e-mail</w:t>
      </w:r>
      <w:r w:rsidR="004000AF">
        <w:rPr>
          <w:rFonts w:eastAsia="Arial Unicode MS" w:cstheme="minorHAnsi"/>
          <w:color w:val="000000"/>
          <w:kern w:val="1"/>
        </w:rPr>
        <w:t>:</w:t>
      </w:r>
      <w:r w:rsidR="004000AF" w:rsidRPr="004000AF">
        <w:rPr>
          <w:rFonts w:eastAsia="Arial Unicode MS" w:cstheme="minorHAnsi"/>
          <w:color w:val="000000"/>
          <w:kern w:val="1"/>
        </w:rPr>
        <w:t xml:space="preserve"> </w:t>
      </w:r>
    </w:p>
    <w:p w14:paraId="6325AEFA" w14:textId="2E2C8CED" w:rsidR="00A34EF3" w:rsidRDefault="00ED764F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>
        <w:rPr>
          <w:rFonts w:eastAsia="Arial Unicode MS" w:cstheme="minorHAnsi"/>
          <w:color w:val="000000"/>
          <w:kern w:val="1"/>
        </w:rPr>
        <w:t>XXX</w:t>
      </w:r>
    </w:p>
    <w:p w14:paraId="0BED556E" w14:textId="536786B3" w:rsidR="0044313E" w:rsidRPr="004000AF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4000AF">
        <w:rPr>
          <w:rFonts w:eastAsia="Arial Unicode MS" w:cstheme="minorHAnsi"/>
          <w:color w:val="000000"/>
          <w:kern w:val="1"/>
        </w:rPr>
        <w:t xml:space="preserve">(dále jen </w:t>
      </w:r>
      <w:r w:rsidR="00AF2F14" w:rsidRPr="004000AF">
        <w:rPr>
          <w:rFonts w:eastAsia="Arial Unicode MS" w:cstheme="minorHAnsi"/>
          <w:i/>
          <w:iCs/>
          <w:color w:val="000000"/>
          <w:kern w:val="1"/>
        </w:rPr>
        <w:t>zhotovitel</w:t>
      </w:r>
      <w:r w:rsidRPr="004000AF">
        <w:rPr>
          <w:rFonts w:eastAsia="Arial Unicode MS" w:cstheme="minorHAnsi"/>
          <w:color w:val="000000"/>
          <w:kern w:val="1"/>
        </w:rPr>
        <w:t>)</w:t>
      </w:r>
    </w:p>
    <w:p w14:paraId="2AF3220C" w14:textId="77777777" w:rsidR="0044313E" w:rsidRPr="008B3127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</w:p>
    <w:p w14:paraId="4C6DEBF8" w14:textId="77777777" w:rsidR="0044313E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>a</w:t>
      </w:r>
      <w:r w:rsidRPr="008B3127">
        <w:rPr>
          <w:rFonts w:eastAsia="Arial Unicode MS" w:cstheme="minorHAnsi"/>
          <w:color w:val="000000"/>
          <w:kern w:val="1"/>
        </w:rPr>
        <w:br/>
      </w:r>
      <w:r w:rsidRPr="008B3127">
        <w:rPr>
          <w:rFonts w:eastAsia="Arial Unicode MS" w:cstheme="minorHAnsi"/>
          <w:color w:val="000000"/>
          <w:kern w:val="1"/>
        </w:rPr>
        <w:br/>
      </w:r>
      <w:r w:rsidRPr="008B3127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09FB1EC2" w14:textId="10BEACB8" w:rsidR="00407787" w:rsidRPr="008B3127" w:rsidRDefault="00407787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proofErr w:type="spellStart"/>
      <w:r>
        <w:rPr>
          <w:rFonts w:eastAsia="Arial Unicode MS" w:cstheme="minorHAnsi"/>
          <w:b/>
          <w:bCs/>
          <w:color w:val="000000"/>
          <w:kern w:val="1"/>
        </w:rPr>
        <w:t>HaDivadlo</w:t>
      </w:r>
      <w:proofErr w:type="spellEnd"/>
    </w:p>
    <w:p w14:paraId="3002591E" w14:textId="77777777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Zelný trh 294/9, Brno 602 00,</w:t>
      </w:r>
    </w:p>
    <w:p w14:paraId="6521AD70" w14:textId="77777777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IČ: 004 009 21</w:t>
      </w:r>
    </w:p>
    <w:p w14:paraId="58077DD9" w14:textId="3E1B70EA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>OR: spis</w:t>
      </w:r>
      <w:r w:rsidR="009757A8" w:rsidRPr="008B3127">
        <w:rPr>
          <w:rFonts w:eastAsia="Arial Unicode MS" w:cstheme="minorHAnsi"/>
          <w:kern w:val="1"/>
        </w:rPr>
        <w:t>ová</w:t>
      </w:r>
      <w:r w:rsidRPr="008B3127">
        <w:rPr>
          <w:rFonts w:eastAsia="Arial Unicode MS" w:cstheme="minorHAnsi"/>
          <w:kern w:val="1"/>
        </w:rPr>
        <w:t xml:space="preserve"> zn</w:t>
      </w:r>
      <w:r w:rsidR="009757A8" w:rsidRPr="008B3127">
        <w:rPr>
          <w:rFonts w:eastAsia="Arial Unicode MS" w:cstheme="minorHAnsi"/>
          <w:kern w:val="1"/>
        </w:rPr>
        <w:t>ačka</w:t>
      </w:r>
      <w:r w:rsidRPr="008B3127">
        <w:rPr>
          <w:rFonts w:eastAsia="Arial Unicode MS" w:cstheme="minorHAnsi"/>
          <w:kern w:val="1"/>
        </w:rPr>
        <w:t xml:space="preserve"> </w:t>
      </w:r>
      <w:proofErr w:type="spellStart"/>
      <w:r w:rsidRPr="008B3127">
        <w:rPr>
          <w:rFonts w:eastAsia="Arial Unicode MS" w:cstheme="minorHAnsi"/>
          <w:kern w:val="1"/>
        </w:rPr>
        <w:t>Pr</w:t>
      </w:r>
      <w:proofErr w:type="spellEnd"/>
      <w:r w:rsidRPr="008B3127">
        <w:rPr>
          <w:rFonts w:eastAsia="Arial Unicode MS" w:cstheme="minorHAnsi"/>
          <w:kern w:val="1"/>
        </w:rPr>
        <w:t xml:space="preserve"> 29</w:t>
      </w:r>
      <w:r w:rsidR="009757A8" w:rsidRPr="008B3127">
        <w:rPr>
          <w:rFonts w:eastAsia="Arial Unicode MS" w:cstheme="minorHAnsi"/>
          <w:kern w:val="1"/>
        </w:rPr>
        <w:t xml:space="preserve"> vedená u </w:t>
      </w:r>
      <w:r w:rsidRPr="008B3127">
        <w:rPr>
          <w:rFonts w:eastAsia="Arial Unicode MS" w:cstheme="minorHAnsi"/>
          <w:kern w:val="1"/>
        </w:rPr>
        <w:t>Krajsk</w:t>
      </w:r>
      <w:r w:rsidR="009757A8" w:rsidRPr="008B3127">
        <w:rPr>
          <w:rFonts w:eastAsia="Arial Unicode MS" w:cstheme="minorHAnsi"/>
          <w:kern w:val="1"/>
        </w:rPr>
        <w:t>ého</w:t>
      </w:r>
      <w:r w:rsidRPr="008B3127">
        <w:rPr>
          <w:rFonts w:eastAsia="Arial Unicode MS" w:cstheme="minorHAnsi"/>
          <w:kern w:val="1"/>
        </w:rPr>
        <w:t xml:space="preserve"> soud</w:t>
      </w:r>
      <w:r w:rsidR="009757A8" w:rsidRPr="008B3127">
        <w:rPr>
          <w:rFonts w:eastAsia="Arial Unicode MS" w:cstheme="minorHAnsi"/>
          <w:kern w:val="1"/>
        </w:rPr>
        <w:t>u</w:t>
      </w:r>
      <w:r w:rsidRPr="008B3127">
        <w:rPr>
          <w:rFonts w:eastAsia="Arial Unicode MS" w:cstheme="minorHAnsi"/>
          <w:kern w:val="1"/>
        </w:rPr>
        <w:t xml:space="preserve"> v Brně</w:t>
      </w:r>
    </w:p>
    <w:p w14:paraId="3273D7B5" w14:textId="1EB0607F" w:rsidR="0044313E" w:rsidRPr="008B3127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8B3127">
        <w:rPr>
          <w:rFonts w:eastAsia="Arial Unicode MS" w:cstheme="minorHAnsi"/>
          <w:kern w:val="1"/>
        </w:rPr>
        <w:t xml:space="preserve">Bank. spojení: </w:t>
      </w:r>
      <w:r w:rsidR="00ED764F">
        <w:rPr>
          <w:rFonts w:eastAsia="Arial Unicode MS" w:cstheme="minorHAnsi"/>
          <w:kern w:val="1"/>
        </w:rPr>
        <w:t>XXX</w:t>
      </w:r>
    </w:p>
    <w:p w14:paraId="2127077C" w14:textId="1172C0AC" w:rsidR="0044313E" w:rsidRPr="008B3127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 xml:space="preserve">zastoupená: MgA. </w:t>
      </w:r>
      <w:r w:rsidR="005A0307">
        <w:rPr>
          <w:rFonts w:eastAsia="Arial Unicode MS" w:cstheme="minorHAnsi"/>
          <w:color w:val="000000"/>
          <w:kern w:val="1"/>
        </w:rPr>
        <w:t xml:space="preserve">Janem </w:t>
      </w:r>
      <w:proofErr w:type="spellStart"/>
      <w:r w:rsidR="005A0307">
        <w:rPr>
          <w:rFonts w:eastAsia="Arial Unicode MS" w:cstheme="minorHAnsi"/>
          <w:color w:val="000000"/>
          <w:kern w:val="1"/>
        </w:rPr>
        <w:t>Búrikem</w:t>
      </w:r>
      <w:proofErr w:type="spellEnd"/>
      <w:r w:rsidRPr="008B3127">
        <w:rPr>
          <w:rFonts w:eastAsia="Arial Unicode MS" w:cstheme="minorHAnsi"/>
          <w:color w:val="000000"/>
          <w:kern w:val="1"/>
        </w:rPr>
        <w:t>, ředitel</w:t>
      </w:r>
      <w:r w:rsidR="005A0307">
        <w:rPr>
          <w:rFonts w:eastAsia="Arial Unicode MS" w:cstheme="minorHAnsi"/>
          <w:color w:val="000000"/>
          <w:kern w:val="1"/>
        </w:rPr>
        <w:t>em</w:t>
      </w:r>
      <w:r w:rsidRPr="008B3127">
        <w:rPr>
          <w:rFonts w:eastAsia="Arial Unicode MS" w:cstheme="minorHAnsi"/>
          <w:color w:val="000000"/>
          <w:kern w:val="1"/>
        </w:rPr>
        <w:t xml:space="preserve"> organizace </w:t>
      </w:r>
    </w:p>
    <w:p w14:paraId="09404748" w14:textId="1E6E2564" w:rsidR="008B3127" w:rsidRDefault="0044313E" w:rsidP="004D5791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</w:rPr>
      </w:pPr>
      <w:r w:rsidRPr="008B3127">
        <w:rPr>
          <w:rFonts w:eastAsia="Arial Unicode MS" w:cstheme="minorHAnsi"/>
          <w:color w:val="000000"/>
          <w:kern w:val="1"/>
        </w:rPr>
        <w:t xml:space="preserve">(dále jen </w:t>
      </w:r>
      <w:r w:rsidR="00DA2F7F" w:rsidRPr="008B3127">
        <w:rPr>
          <w:rFonts w:eastAsia="Arial Unicode MS" w:cstheme="minorHAnsi"/>
          <w:i/>
          <w:iCs/>
          <w:color w:val="000000"/>
          <w:kern w:val="1"/>
        </w:rPr>
        <w:t>objednatel</w:t>
      </w:r>
      <w:r w:rsidRPr="008B3127">
        <w:rPr>
          <w:rFonts w:eastAsia="Arial Unicode MS" w:cstheme="minorHAnsi"/>
          <w:color w:val="000000"/>
          <w:kern w:val="1"/>
        </w:rPr>
        <w:t>)</w:t>
      </w:r>
    </w:p>
    <w:p w14:paraId="52DF6685" w14:textId="77777777" w:rsidR="00E76BB0" w:rsidRPr="008B3127" w:rsidRDefault="00E76BB0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</w:rPr>
      </w:pPr>
    </w:p>
    <w:p w14:paraId="0197CCF6" w14:textId="057F354D" w:rsidR="0044313E" w:rsidRPr="008B3127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Článek </w:t>
      </w:r>
      <w:r w:rsidRPr="008B3127">
        <w:rPr>
          <w:rFonts w:eastAsia="Arial Unicode MS" w:cstheme="minorHAnsi"/>
          <w:b/>
          <w:color w:val="000000"/>
          <w:kern w:val="1"/>
        </w:rPr>
        <w:t>I</w:t>
      </w:r>
      <w:r w:rsidR="00321707">
        <w:rPr>
          <w:rFonts w:eastAsia="Arial Unicode MS" w:cstheme="minorHAnsi"/>
          <w:b/>
          <w:color w:val="000000"/>
          <w:kern w:val="1"/>
        </w:rPr>
        <w:t>I</w:t>
      </w:r>
      <w:r w:rsidRPr="008B3127">
        <w:rPr>
          <w:rFonts w:eastAsia="Arial Unicode MS" w:cstheme="minorHAnsi"/>
          <w:b/>
          <w:color w:val="000000"/>
          <w:kern w:val="1"/>
        </w:rPr>
        <w:t xml:space="preserve">. </w:t>
      </w:r>
    </w:p>
    <w:p w14:paraId="379EBCE1" w14:textId="1B3B04D6" w:rsidR="0044313E" w:rsidRPr="008B3127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color w:val="000000"/>
          <w:kern w:val="1"/>
        </w:rPr>
        <w:t xml:space="preserve">Předmět </w:t>
      </w:r>
      <w:r w:rsidR="00EE54DB" w:rsidRPr="008B3127">
        <w:rPr>
          <w:rFonts w:eastAsia="Arial Unicode MS" w:cstheme="minorHAnsi"/>
          <w:b/>
          <w:color w:val="000000"/>
          <w:kern w:val="1"/>
        </w:rPr>
        <w:t>smlouvy</w:t>
      </w:r>
    </w:p>
    <w:p w14:paraId="3A7D6493" w14:textId="77777777" w:rsidR="006C0A2B" w:rsidRPr="008B3127" w:rsidRDefault="006C0A2B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</w:p>
    <w:p w14:paraId="32BC76D0" w14:textId="5A6B6EFE" w:rsidR="00AA3377" w:rsidRPr="00837A38" w:rsidRDefault="00AA3377" w:rsidP="004D5791">
      <w:pPr>
        <w:pStyle w:val="Odstavecseseznamem"/>
        <w:numPr>
          <w:ilvl w:val="0"/>
          <w:numId w:val="24"/>
        </w:numPr>
        <w:rPr>
          <w:rFonts w:cstheme="minorHAnsi"/>
          <w:b/>
          <w:bCs/>
          <w:szCs w:val="22"/>
        </w:rPr>
      </w:pPr>
      <w:r w:rsidRPr="00837A38">
        <w:rPr>
          <w:rFonts w:cstheme="minorHAnsi"/>
          <w:b/>
          <w:bCs/>
          <w:szCs w:val="22"/>
        </w:rPr>
        <w:t xml:space="preserve">Předmětem smlouvy je </w:t>
      </w:r>
      <w:r w:rsidR="004B650B" w:rsidRPr="00837A38">
        <w:rPr>
          <w:rFonts w:cstheme="minorHAnsi"/>
          <w:b/>
          <w:bCs/>
          <w:szCs w:val="22"/>
        </w:rPr>
        <w:t xml:space="preserve">vytvoření webových stránek </w:t>
      </w:r>
      <w:proofErr w:type="spellStart"/>
      <w:r w:rsidR="008A2B7C" w:rsidRPr="00837A38">
        <w:rPr>
          <w:rFonts w:cstheme="minorHAnsi"/>
          <w:b/>
          <w:bCs/>
          <w:szCs w:val="22"/>
        </w:rPr>
        <w:t>HaDivadla</w:t>
      </w:r>
      <w:proofErr w:type="spellEnd"/>
      <w:r w:rsidR="008A2B7C" w:rsidRPr="00837A38">
        <w:rPr>
          <w:rFonts w:cstheme="minorHAnsi"/>
          <w:b/>
          <w:bCs/>
          <w:szCs w:val="22"/>
        </w:rPr>
        <w:t xml:space="preserve"> </w:t>
      </w:r>
      <w:r w:rsidR="003A7E52" w:rsidRPr="00837A38">
        <w:rPr>
          <w:rFonts w:cstheme="minorHAnsi"/>
          <w:b/>
          <w:bCs/>
          <w:szCs w:val="22"/>
        </w:rPr>
        <w:t>včetně</w:t>
      </w:r>
      <w:r w:rsidR="004B650B" w:rsidRPr="00837A38">
        <w:rPr>
          <w:rFonts w:cstheme="minorHAnsi"/>
          <w:b/>
          <w:bCs/>
          <w:szCs w:val="22"/>
        </w:rPr>
        <w:t xml:space="preserve"> poskytnutí souvisejících služeb </w:t>
      </w:r>
      <w:r w:rsidR="003A7E52" w:rsidRPr="00837A38">
        <w:rPr>
          <w:rFonts w:cstheme="minorHAnsi"/>
          <w:b/>
          <w:bCs/>
          <w:szCs w:val="22"/>
        </w:rPr>
        <w:t xml:space="preserve">(dále „dílo“) </w:t>
      </w:r>
      <w:r w:rsidR="004B650B" w:rsidRPr="00837A38">
        <w:rPr>
          <w:rFonts w:cstheme="minorHAnsi"/>
          <w:b/>
          <w:bCs/>
          <w:szCs w:val="22"/>
        </w:rPr>
        <w:t>dle níže uvedeného popisu.</w:t>
      </w:r>
    </w:p>
    <w:p w14:paraId="464D9FDA" w14:textId="77777777" w:rsidR="006B6E21" w:rsidRDefault="006B6E21" w:rsidP="00FD1DFC">
      <w:pPr>
        <w:pStyle w:val="Odstavecseseznamem"/>
        <w:ind w:left="426"/>
        <w:rPr>
          <w:rFonts w:cstheme="minorHAnsi"/>
          <w:b/>
          <w:bCs/>
          <w:szCs w:val="22"/>
          <w:u w:val="single"/>
        </w:rPr>
      </w:pPr>
    </w:p>
    <w:p w14:paraId="525AD1DB" w14:textId="47918980" w:rsidR="00EE6500" w:rsidRDefault="003A7E52" w:rsidP="004B650B">
      <w:pPr>
        <w:spacing w:after="120"/>
        <w:ind w:left="786"/>
      </w:pPr>
      <w:r>
        <w:rPr>
          <w:b/>
          <w:bCs/>
        </w:rPr>
        <w:t xml:space="preserve">1.1 </w:t>
      </w:r>
      <w:r w:rsidR="00EE6500">
        <w:rPr>
          <w:b/>
          <w:bCs/>
        </w:rPr>
        <w:t>Základní požadavky:</w:t>
      </w:r>
    </w:p>
    <w:p w14:paraId="0131AA7F" w14:textId="77777777" w:rsidR="00EE6500" w:rsidRDefault="00EE6500" w:rsidP="004B650B">
      <w:pPr>
        <w:pStyle w:val="Odstavecseseznamem"/>
        <w:numPr>
          <w:ilvl w:val="0"/>
          <w:numId w:val="29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Responzivní design</w:t>
      </w:r>
    </w:p>
    <w:p w14:paraId="69668388" w14:textId="77777777" w:rsidR="00EE6500" w:rsidRDefault="00EE6500" w:rsidP="004B650B">
      <w:pPr>
        <w:pStyle w:val="Odstavecseseznamem"/>
        <w:numPr>
          <w:ilvl w:val="0"/>
          <w:numId w:val="29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Přístupnost (struktura nadpisů, sémantické značky, popisky obrázků)</w:t>
      </w:r>
    </w:p>
    <w:p w14:paraId="1CD0D77E" w14:textId="77777777" w:rsidR="00EE6500" w:rsidRDefault="00EE6500" w:rsidP="004B650B">
      <w:pPr>
        <w:pStyle w:val="Odstavecseseznamem"/>
        <w:numPr>
          <w:ilvl w:val="0"/>
          <w:numId w:val="29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Redakční systém</w:t>
      </w:r>
    </w:p>
    <w:p w14:paraId="12E7CEF9" w14:textId="77777777" w:rsidR="00EE6500" w:rsidRDefault="00EE6500" w:rsidP="004B650B">
      <w:pPr>
        <w:pStyle w:val="Odstavecseseznamem"/>
        <w:numPr>
          <w:ilvl w:val="0"/>
          <w:numId w:val="29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2 plnohodnotné jazykové mutace (čeština, angličtina)</w:t>
      </w:r>
    </w:p>
    <w:p w14:paraId="61FBE3E6" w14:textId="77777777" w:rsidR="00EE6500" w:rsidRDefault="00EE6500" w:rsidP="004B650B">
      <w:pPr>
        <w:pStyle w:val="Odstavecseseznamem"/>
        <w:numPr>
          <w:ilvl w:val="0"/>
          <w:numId w:val="29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Základní zabezpečení a dostupnost (podpora HTTPS a IPv6)</w:t>
      </w:r>
    </w:p>
    <w:p w14:paraId="1762C64C" w14:textId="77777777" w:rsidR="00EE6500" w:rsidRDefault="00EE6500" w:rsidP="004B650B">
      <w:pPr>
        <w:pStyle w:val="Odstavecseseznamem"/>
        <w:numPr>
          <w:ilvl w:val="0"/>
          <w:numId w:val="29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 xml:space="preserve">Konzultace a školení se zaměstnanci </w:t>
      </w:r>
      <w:proofErr w:type="spellStart"/>
      <w:r>
        <w:rPr>
          <w:szCs w:val="22"/>
        </w:rPr>
        <w:t>HaDivadla</w:t>
      </w:r>
      <w:proofErr w:type="spellEnd"/>
    </w:p>
    <w:p w14:paraId="435E1FFC" w14:textId="67CA3CEE" w:rsidR="00EE6500" w:rsidRDefault="00EE6500" w:rsidP="004B650B">
      <w:pPr>
        <w:pStyle w:val="Odstavecseseznamem"/>
        <w:numPr>
          <w:ilvl w:val="0"/>
          <w:numId w:val="29"/>
        </w:numPr>
        <w:tabs>
          <w:tab w:val="clear" w:pos="0"/>
          <w:tab w:val="num" w:pos="786"/>
        </w:tabs>
        <w:spacing w:after="240"/>
        <w:ind w:left="1506"/>
      </w:pPr>
      <w:r>
        <w:rPr>
          <w:szCs w:val="22"/>
        </w:rPr>
        <w:t xml:space="preserve">Systém na prodej vstupenek </w:t>
      </w:r>
      <w:r>
        <w:rPr>
          <w:b/>
          <w:bCs/>
          <w:szCs w:val="22"/>
        </w:rPr>
        <w:t>není</w:t>
      </w:r>
      <w:r>
        <w:rPr>
          <w:szCs w:val="22"/>
        </w:rPr>
        <w:t xml:space="preserve"> součástí zakázky (viz integrace služeb)</w:t>
      </w:r>
    </w:p>
    <w:p w14:paraId="0CFDE03D" w14:textId="147C5916" w:rsidR="00EE6500" w:rsidRDefault="003A7E52" w:rsidP="004B650B">
      <w:pPr>
        <w:spacing w:after="120"/>
        <w:ind w:left="786"/>
        <w:rPr>
          <w:b/>
          <w:bCs/>
        </w:rPr>
      </w:pPr>
      <w:r>
        <w:rPr>
          <w:b/>
          <w:bCs/>
        </w:rPr>
        <w:t xml:space="preserve">1.2 </w:t>
      </w:r>
      <w:r w:rsidR="00EE6500">
        <w:rPr>
          <w:b/>
          <w:bCs/>
        </w:rPr>
        <w:t>Orientační struktura nového webu a rozsah práce:</w:t>
      </w:r>
    </w:p>
    <w:p w14:paraId="029047E6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Titulní stránka</w:t>
      </w:r>
    </w:p>
    <w:p w14:paraId="7422FDD2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Aktuality/blog</w:t>
      </w:r>
    </w:p>
    <w:p w14:paraId="7D705521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Program</w:t>
      </w:r>
    </w:p>
    <w:p w14:paraId="597EBCDC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Kalendářové zobrazení</w:t>
      </w:r>
    </w:p>
    <w:p w14:paraId="6E203716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Možnost filtrace</w:t>
      </w:r>
    </w:p>
    <w:p w14:paraId="64EE27CC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Archiv proběhlých akci</w:t>
      </w:r>
    </w:p>
    <w:p w14:paraId="1F79B107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Předplatné</w:t>
      </w:r>
    </w:p>
    <w:p w14:paraId="1A890CF2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Repertoár</w:t>
      </w:r>
    </w:p>
    <w:p w14:paraId="16C26A9F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</w:pPr>
      <w:r>
        <w:rPr>
          <w:szCs w:val="22"/>
        </w:rPr>
        <w:t>Stránky aktuálních inscenací (14 ks)</w:t>
      </w:r>
    </w:p>
    <w:p w14:paraId="3B810CE9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Sezóna</w:t>
      </w:r>
    </w:p>
    <w:p w14:paraId="60D9147E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Stránka aktuální sezóny s provázaností na repertoár</w:t>
      </w:r>
    </w:p>
    <w:p w14:paraId="02F41B6A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lastRenderedPageBreak/>
        <w:t>Stránky starších sezón s možností doplnit historický repertoár (10 ks)</w:t>
      </w:r>
    </w:p>
    <w:p w14:paraId="69CC6BBA" w14:textId="77777777" w:rsidR="00EE6500" w:rsidRDefault="00EE6500" w:rsidP="00407787">
      <w:pPr>
        <w:pStyle w:val="Odstavecseseznamem"/>
        <w:ind w:left="2226"/>
        <w:rPr>
          <w:szCs w:val="22"/>
        </w:rPr>
      </w:pPr>
      <w:r>
        <w:rPr>
          <w:szCs w:val="22"/>
        </w:rPr>
        <w:t>(naplnění historického obsahu není součástí dodávky)</w:t>
      </w:r>
    </w:p>
    <w:p w14:paraId="624D9D94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Lidé</w:t>
      </w:r>
    </w:p>
    <w:p w14:paraId="56A333E5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Herci</w:t>
      </w:r>
    </w:p>
    <w:p w14:paraId="4E0ABF11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Vedení</w:t>
      </w:r>
    </w:p>
    <w:p w14:paraId="0D50D814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Zázemí</w:t>
      </w:r>
    </w:p>
    <w:p w14:paraId="717E3621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Informace o divadle</w:t>
      </w:r>
    </w:p>
    <w:p w14:paraId="11EF790A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Obecné informace o divadle</w:t>
      </w:r>
    </w:p>
    <w:p w14:paraId="2B034196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Informace o nákupu vstupenek</w:t>
      </w:r>
    </w:p>
    <w:p w14:paraId="36F7DFE0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Informace o vzdělávacích programech</w:t>
      </w:r>
    </w:p>
    <w:p w14:paraId="5E5459AF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Informace o Klubu mladého diváka</w:t>
      </w:r>
    </w:p>
    <w:p w14:paraId="65016916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Informace o sponzoringu</w:t>
      </w:r>
    </w:p>
    <w:p w14:paraId="02295B05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Informace pro přátelé a sponzory divadla</w:t>
      </w:r>
    </w:p>
    <w:p w14:paraId="0795831F" w14:textId="77777777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>Kontakt</w:t>
      </w:r>
    </w:p>
    <w:p w14:paraId="0DD3E780" w14:textId="77777777" w:rsidR="00EE6500" w:rsidRDefault="00EE6500" w:rsidP="004B650B">
      <w:pPr>
        <w:pStyle w:val="Odstavecseseznamem"/>
        <w:numPr>
          <w:ilvl w:val="1"/>
          <w:numId w:val="30"/>
        </w:numPr>
        <w:tabs>
          <w:tab w:val="clear" w:pos="0"/>
          <w:tab w:val="num" w:pos="786"/>
        </w:tabs>
        <w:ind w:left="2226"/>
        <w:rPr>
          <w:szCs w:val="22"/>
        </w:rPr>
      </w:pPr>
      <w:r>
        <w:rPr>
          <w:szCs w:val="22"/>
        </w:rPr>
        <w:t>Kontaktní informace a mapa</w:t>
      </w:r>
    </w:p>
    <w:p w14:paraId="584AB52B" w14:textId="1BC102B5" w:rsidR="00B45A44" w:rsidRPr="009D1E49" w:rsidRDefault="00EE6500" w:rsidP="009D1E49">
      <w:pPr>
        <w:spacing w:after="0"/>
        <w:rPr>
          <w:b/>
          <w:bCs/>
        </w:rPr>
      </w:pPr>
      <w:r w:rsidRPr="009D1E49">
        <w:rPr>
          <w:b/>
          <w:bCs/>
        </w:rPr>
        <w:t xml:space="preserve"> </w:t>
      </w:r>
    </w:p>
    <w:p w14:paraId="1564DC8E" w14:textId="07D9F41B" w:rsidR="00EE6500" w:rsidRDefault="00B45A44" w:rsidP="00B45A44">
      <w:pPr>
        <w:spacing w:after="0"/>
        <w:ind w:left="788"/>
      </w:pPr>
      <w:r>
        <w:t>C</w:t>
      </w:r>
      <w:r w:rsidR="00EE6500">
        <w:t xml:space="preserve">elkový rozsah bude podobný současnému webu </w:t>
      </w:r>
      <w:hyperlink r:id="rId8" w:tgtFrame="_top">
        <w:r w:rsidR="00EE6500">
          <w:rPr>
            <w:rStyle w:val="Hypertextovodkaz"/>
          </w:rPr>
          <w:t>https://www.hadivadlo.cz</w:t>
        </w:r>
      </w:hyperlink>
      <w:r>
        <w:t>.</w:t>
      </w:r>
    </w:p>
    <w:p w14:paraId="499E610F" w14:textId="0BE3164A" w:rsidR="002E68FD" w:rsidRDefault="00B45A44" w:rsidP="004B650B">
      <w:pPr>
        <w:ind w:left="786"/>
      </w:pPr>
      <w:r>
        <w:t xml:space="preserve">Detailní nastavení ve smyslu výše </w:t>
      </w:r>
      <w:r w:rsidR="009D1E49">
        <w:t>popsané orientační struktury</w:t>
      </w:r>
      <w:r w:rsidR="00E50EED">
        <w:t xml:space="preserve"> bud</w:t>
      </w:r>
      <w:r w:rsidR="005E4DB8">
        <w:t>e</w:t>
      </w:r>
      <w:r w:rsidR="00E50EED">
        <w:t xml:space="preserve"> upřesňován</w:t>
      </w:r>
      <w:r w:rsidR="005E4DB8">
        <w:t>o</w:t>
      </w:r>
      <w:r w:rsidR="00E50EED">
        <w:t xml:space="preserve"> v průběhu tvorby webových stránek.</w:t>
      </w:r>
    </w:p>
    <w:p w14:paraId="6941A72B" w14:textId="1D1B4832" w:rsidR="00EE6500" w:rsidRDefault="003A7E52" w:rsidP="004B650B">
      <w:pPr>
        <w:spacing w:after="120"/>
        <w:ind w:left="786"/>
        <w:rPr>
          <w:b/>
          <w:bCs/>
        </w:rPr>
      </w:pPr>
      <w:r>
        <w:rPr>
          <w:b/>
          <w:bCs/>
        </w:rPr>
        <w:t xml:space="preserve">1.3 </w:t>
      </w:r>
      <w:r w:rsidR="00EE6500">
        <w:rPr>
          <w:b/>
          <w:bCs/>
        </w:rPr>
        <w:t>Konzultace a školení</w:t>
      </w:r>
    </w:p>
    <w:p w14:paraId="16B6F9D6" w14:textId="25FAA809" w:rsidR="00EE6500" w:rsidRDefault="00B75253" w:rsidP="004B650B">
      <w:pPr>
        <w:pStyle w:val="Odstavecseseznamem"/>
        <w:numPr>
          <w:ilvl w:val="0"/>
          <w:numId w:val="31"/>
        </w:numPr>
        <w:tabs>
          <w:tab w:val="clear" w:pos="0"/>
          <w:tab w:val="num" w:pos="786"/>
        </w:tabs>
        <w:spacing w:after="120"/>
        <w:ind w:left="1506"/>
        <w:rPr>
          <w:szCs w:val="22"/>
        </w:rPr>
      </w:pPr>
      <w:r>
        <w:rPr>
          <w:szCs w:val="22"/>
        </w:rPr>
        <w:t>Zhotovitel</w:t>
      </w:r>
      <w:r w:rsidR="00EE6500">
        <w:rPr>
          <w:szCs w:val="22"/>
        </w:rPr>
        <w:t xml:space="preserve"> před započetím prací na webu absolvuje setkání s vedením </w:t>
      </w:r>
      <w:proofErr w:type="spellStart"/>
      <w:r w:rsidR="00EE6500">
        <w:rPr>
          <w:szCs w:val="22"/>
        </w:rPr>
        <w:t>HaDivadla</w:t>
      </w:r>
      <w:proofErr w:type="spellEnd"/>
      <w:r w:rsidR="00EE6500">
        <w:rPr>
          <w:szCs w:val="22"/>
        </w:rPr>
        <w:t>, aby mu mohlo osobně upřesnit strukturu a jejich vizi fungování webu</w:t>
      </w:r>
      <w:r w:rsidR="00FA733E">
        <w:rPr>
          <w:szCs w:val="22"/>
        </w:rPr>
        <w:t xml:space="preserve"> </w:t>
      </w:r>
      <w:r w:rsidR="004A4AB9">
        <w:rPr>
          <w:szCs w:val="22"/>
        </w:rPr>
        <w:t>(</w:t>
      </w:r>
      <w:r w:rsidR="00FA733E">
        <w:rPr>
          <w:szCs w:val="22"/>
        </w:rPr>
        <w:t>strategický workshop v rozsahu 1,5 „</w:t>
      </w:r>
      <w:proofErr w:type="spellStart"/>
      <w:r w:rsidR="00FA733E">
        <w:rPr>
          <w:szCs w:val="22"/>
        </w:rPr>
        <w:t>osobodne</w:t>
      </w:r>
      <w:proofErr w:type="spellEnd"/>
      <w:r w:rsidR="00FA733E">
        <w:rPr>
          <w:szCs w:val="22"/>
        </w:rPr>
        <w:t>“</w:t>
      </w:r>
      <w:r w:rsidR="006A24F1">
        <w:rPr>
          <w:szCs w:val="22"/>
        </w:rPr>
        <w:t>, tzn.</w:t>
      </w:r>
      <w:r w:rsidR="00FA733E">
        <w:rPr>
          <w:szCs w:val="22"/>
        </w:rPr>
        <w:t xml:space="preserve"> 12 hodin</w:t>
      </w:r>
      <w:r w:rsidR="004A4AB9">
        <w:rPr>
          <w:szCs w:val="22"/>
        </w:rPr>
        <w:t>)</w:t>
      </w:r>
      <w:r w:rsidR="00EE6500">
        <w:rPr>
          <w:szCs w:val="22"/>
        </w:rPr>
        <w:t>.</w:t>
      </w:r>
    </w:p>
    <w:p w14:paraId="049B38B9" w14:textId="3D26B1F5" w:rsidR="00EE6500" w:rsidRDefault="00B75253" w:rsidP="004B650B">
      <w:pPr>
        <w:pStyle w:val="Odstavecseseznamem"/>
        <w:numPr>
          <w:ilvl w:val="0"/>
          <w:numId w:val="31"/>
        </w:numPr>
        <w:tabs>
          <w:tab w:val="clear" w:pos="0"/>
          <w:tab w:val="num" w:pos="786"/>
        </w:tabs>
        <w:spacing w:after="120"/>
        <w:ind w:left="1506"/>
        <w:rPr>
          <w:szCs w:val="22"/>
        </w:rPr>
      </w:pPr>
      <w:r>
        <w:rPr>
          <w:szCs w:val="22"/>
        </w:rPr>
        <w:t>Zhotovitel</w:t>
      </w:r>
      <w:r w:rsidR="00EE6500">
        <w:rPr>
          <w:szCs w:val="22"/>
        </w:rPr>
        <w:t xml:space="preserve"> absolvuje individuální rozhovory s jednotlivými členy vedení </w:t>
      </w:r>
      <w:r w:rsidR="004A4AB9">
        <w:rPr>
          <w:szCs w:val="22"/>
        </w:rPr>
        <w:t>CED/</w:t>
      </w:r>
      <w:proofErr w:type="spellStart"/>
      <w:r w:rsidR="00EE6500">
        <w:rPr>
          <w:szCs w:val="22"/>
        </w:rPr>
        <w:t>HaDivadla</w:t>
      </w:r>
      <w:proofErr w:type="spellEnd"/>
      <w:r w:rsidR="00EE6500">
        <w:rPr>
          <w:szCs w:val="22"/>
        </w:rPr>
        <w:t xml:space="preserve"> (</w:t>
      </w:r>
      <w:r w:rsidR="00574E99">
        <w:rPr>
          <w:szCs w:val="22"/>
        </w:rPr>
        <w:t xml:space="preserve">cca </w:t>
      </w:r>
      <w:r w:rsidR="00860D87">
        <w:rPr>
          <w:szCs w:val="22"/>
        </w:rPr>
        <w:t xml:space="preserve">4 rozhovory v celkovém rozsahu 2,5 </w:t>
      </w:r>
      <w:r w:rsidR="006A24F1">
        <w:rPr>
          <w:szCs w:val="22"/>
        </w:rPr>
        <w:t>„</w:t>
      </w:r>
      <w:proofErr w:type="spellStart"/>
      <w:r w:rsidR="00860D87">
        <w:rPr>
          <w:szCs w:val="22"/>
        </w:rPr>
        <w:t>osobodnů</w:t>
      </w:r>
      <w:proofErr w:type="spellEnd"/>
      <w:r w:rsidR="006A24F1">
        <w:rPr>
          <w:szCs w:val="22"/>
        </w:rPr>
        <w:t>“</w:t>
      </w:r>
      <w:r w:rsidR="00860D87">
        <w:rPr>
          <w:szCs w:val="22"/>
        </w:rPr>
        <w:t xml:space="preserve">, tzn. </w:t>
      </w:r>
      <w:r w:rsidR="006A24F1">
        <w:rPr>
          <w:szCs w:val="22"/>
        </w:rPr>
        <w:t>20 hodin</w:t>
      </w:r>
      <w:r w:rsidR="00EE6500">
        <w:rPr>
          <w:szCs w:val="22"/>
        </w:rPr>
        <w:t>).</w:t>
      </w:r>
    </w:p>
    <w:p w14:paraId="51DBCA9A" w14:textId="0F887057" w:rsidR="00EE6500" w:rsidRDefault="00B75253" w:rsidP="004B650B">
      <w:pPr>
        <w:pStyle w:val="Odstavecseseznamem"/>
        <w:numPr>
          <w:ilvl w:val="0"/>
          <w:numId w:val="31"/>
        </w:numPr>
        <w:tabs>
          <w:tab w:val="clear" w:pos="0"/>
          <w:tab w:val="num" w:pos="786"/>
        </w:tabs>
        <w:spacing w:after="120"/>
        <w:ind w:left="1506"/>
        <w:rPr>
          <w:szCs w:val="22"/>
        </w:rPr>
      </w:pPr>
      <w:r>
        <w:rPr>
          <w:szCs w:val="22"/>
        </w:rPr>
        <w:t>Zhotovitel</w:t>
      </w:r>
      <w:r w:rsidR="00EE6500">
        <w:rPr>
          <w:szCs w:val="22"/>
        </w:rPr>
        <w:t xml:space="preserve"> po implementaci grafického designu absolvuje další setkání s vedením </w:t>
      </w:r>
      <w:proofErr w:type="spellStart"/>
      <w:r w:rsidR="00EE6500">
        <w:rPr>
          <w:szCs w:val="22"/>
        </w:rPr>
        <w:t>HaDivadla</w:t>
      </w:r>
      <w:proofErr w:type="spellEnd"/>
      <w:r w:rsidR="00EE6500">
        <w:rPr>
          <w:szCs w:val="22"/>
        </w:rPr>
        <w:t xml:space="preserve"> pro získání zpětné vazby (</w:t>
      </w:r>
      <w:r w:rsidR="00646959">
        <w:rPr>
          <w:szCs w:val="22"/>
        </w:rPr>
        <w:t xml:space="preserve">workshop revize skic v rozsahu 2 </w:t>
      </w:r>
      <w:r w:rsidR="005374C7">
        <w:rPr>
          <w:szCs w:val="22"/>
        </w:rPr>
        <w:t>„</w:t>
      </w:r>
      <w:proofErr w:type="spellStart"/>
      <w:r w:rsidR="00646959">
        <w:rPr>
          <w:szCs w:val="22"/>
        </w:rPr>
        <w:t>osobodnů</w:t>
      </w:r>
      <w:proofErr w:type="spellEnd"/>
      <w:r w:rsidR="005374C7">
        <w:rPr>
          <w:szCs w:val="22"/>
        </w:rPr>
        <w:t>“</w:t>
      </w:r>
      <w:r w:rsidR="00646959">
        <w:rPr>
          <w:szCs w:val="22"/>
        </w:rPr>
        <w:t xml:space="preserve">, </w:t>
      </w:r>
      <w:r w:rsidR="008A2B7C">
        <w:rPr>
          <w:szCs w:val="22"/>
        </w:rPr>
        <w:t>tzn. 16 hodin)</w:t>
      </w:r>
      <w:r w:rsidR="00EE6500">
        <w:rPr>
          <w:szCs w:val="22"/>
        </w:rPr>
        <w:t>.</w:t>
      </w:r>
    </w:p>
    <w:p w14:paraId="77F85507" w14:textId="531CB3A8" w:rsidR="00EE6500" w:rsidRDefault="00B75253" w:rsidP="004B650B">
      <w:pPr>
        <w:pStyle w:val="Odstavecseseznamem"/>
        <w:numPr>
          <w:ilvl w:val="0"/>
          <w:numId w:val="32"/>
        </w:numPr>
        <w:tabs>
          <w:tab w:val="clear" w:pos="0"/>
          <w:tab w:val="num" w:pos="786"/>
        </w:tabs>
        <w:spacing w:after="240"/>
        <w:ind w:left="1506"/>
      </w:pPr>
      <w:r>
        <w:rPr>
          <w:szCs w:val="22"/>
        </w:rPr>
        <w:t>Zhotovitel</w:t>
      </w:r>
      <w:r w:rsidR="00571E5F">
        <w:rPr>
          <w:szCs w:val="22"/>
        </w:rPr>
        <w:t xml:space="preserve"> v rámci projektového řízení</w:t>
      </w:r>
      <w:r w:rsidR="00EE6500">
        <w:rPr>
          <w:szCs w:val="22"/>
        </w:rPr>
        <w:t xml:space="preserve"> zaškolí personál </w:t>
      </w:r>
      <w:proofErr w:type="spellStart"/>
      <w:r w:rsidR="00EE6500">
        <w:rPr>
          <w:szCs w:val="22"/>
        </w:rPr>
        <w:t>HaDivadla</w:t>
      </w:r>
      <w:proofErr w:type="spellEnd"/>
      <w:r w:rsidR="00EE6500">
        <w:rPr>
          <w:szCs w:val="22"/>
        </w:rPr>
        <w:t xml:space="preserve"> v základních činnostech v redakčním systému</w:t>
      </w:r>
      <w:r w:rsidR="00571E5F">
        <w:rPr>
          <w:szCs w:val="22"/>
        </w:rPr>
        <w:t>.</w:t>
      </w:r>
    </w:p>
    <w:p w14:paraId="0CE2DAA4" w14:textId="38138340" w:rsidR="00EE6500" w:rsidRDefault="003A7E52" w:rsidP="004B650B">
      <w:pPr>
        <w:spacing w:after="120"/>
        <w:ind w:left="786"/>
        <w:rPr>
          <w:b/>
          <w:bCs/>
        </w:rPr>
      </w:pPr>
      <w:r>
        <w:rPr>
          <w:b/>
          <w:bCs/>
        </w:rPr>
        <w:t xml:space="preserve">1.4 </w:t>
      </w:r>
      <w:r w:rsidR="00EE6500">
        <w:rPr>
          <w:b/>
          <w:bCs/>
        </w:rPr>
        <w:t>Design</w:t>
      </w:r>
    </w:p>
    <w:p w14:paraId="75EA8B09" w14:textId="1EA8721F" w:rsidR="00EE6500" w:rsidRDefault="00B75253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240"/>
        <w:ind w:left="1506"/>
      </w:pPr>
      <w:r>
        <w:rPr>
          <w:szCs w:val="22"/>
        </w:rPr>
        <w:t>Zhotovitel</w:t>
      </w:r>
      <w:r w:rsidR="00EE6500">
        <w:rPr>
          <w:szCs w:val="22"/>
        </w:rPr>
        <w:t xml:space="preserve"> zhotoví kompletní design webu s ohledem na grafický manuál dodaný </w:t>
      </w:r>
      <w:r w:rsidR="00195D14">
        <w:rPr>
          <w:szCs w:val="22"/>
        </w:rPr>
        <w:t>objednatelem</w:t>
      </w:r>
      <w:r w:rsidR="00EE6500">
        <w:rPr>
          <w:szCs w:val="22"/>
        </w:rPr>
        <w:t>.</w:t>
      </w:r>
    </w:p>
    <w:p w14:paraId="41E4C0B8" w14:textId="1480C236" w:rsidR="00EE6500" w:rsidRDefault="003A7E52" w:rsidP="004B650B">
      <w:pPr>
        <w:spacing w:after="120"/>
        <w:ind w:left="786"/>
        <w:rPr>
          <w:b/>
          <w:bCs/>
        </w:rPr>
      </w:pPr>
      <w:r>
        <w:rPr>
          <w:b/>
          <w:bCs/>
        </w:rPr>
        <w:t xml:space="preserve">1.5 </w:t>
      </w:r>
      <w:r w:rsidR="00EE6500">
        <w:rPr>
          <w:b/>
          <w:bCs/>
        </w:rPr>
        <w:t>Redakční systém</w:t>
      </w:r>
    </w:p>
    <w:p w14:paraId="7FC234C5" w14:textId="77777777" w:rsidR="00EE6500" w:rsidRDefault="00EE6500" w:rsidP="004B650B">
      <w:pPr>
        <w:ind w:left="786"/>
      </w:pPr>
      <w:r>
        <w:t>Web bude opatřen redakčním systémem, ve kterém bude možné měnit a přidávat jednotlivé stránky a vhodným způsobem měnit menu a strukturu webu. Redakční systém musí být rovněž schopen vkládat a pracovat s multimediálním obsahem (obrázky, video, zvuk).</w:t>
      </w:r>
    </w:p>
    <w:p w14:paraId="586F7947" w14:textId="52720B5B" w:rsidR="00EE6500" w:rsidRDefault="003A7E52" w:rsidP="004B650B">
      <w:pPr>
        <w:spacing w:after="120"/>
        <w:ind w:left="786"/>
        <w:rPr>
          <w:b/>
          <w:bCs/>
        </w:rPr>
      </w:pPr>
      <w:r>
        <w:rPr>
          <w:b/>
          <w:bCs/>
        </w:rPr>
        <w:t xml:space="preserve">1.6 </w:t>
      </w:r>
      <w:r w:rsidR="00EE6500">
        <w:rPr>
          <w:b/>
          <w:bCs/>
        </w:rPr>
        <w:t>Multimediální obsah</w:t>
      </w:r>
    </w:p>
    <w:p w14:paraId="478C819E" w14:textId="77777777" w:rsidR="00EE6500" w:rsidRDefault="00EE6500" w:rsidP="004B650B">
      <w:pPr>
        <w:ind w:left="786"/>
      </w:pPr>
      <w:r>
        <w:t>Web a redakční systém umožní vkládat kromě obrázků i video a zvuk a nahrávat přílohy (např. PDF soubory).</w:t>
      </w:r>
    </w:p>
    <w:p w14:paraId="745568A8" w14:textId="72E410DC" w:rsidR="00EE6500" w:rsidRDefault="003A7E52" w:rsidP="004B650B">
      <w:pPr>
        <w:spacing w:after="120"/>
        <w:ind w:left="786"/>
        <w:rPr>
          <w:b/>
          <w:bCs/>
        </w:rPr>
      </w:pPr>
      <w:r>
        <w:rPr>
          <w:b/>
          <w:bCs/>
        </w:rPr>
        <w:t xml:space="preserve">1.7 </w:t>
      </w:r>
      <w:r w:rsidR="00EE6500">
        <w:rPr>
          <w:b/>
          <w:bCs/>
        </w:rPr>
        <w:t>Integrace služeb</w:t>
      </w:r>
    </w:p>
    <w:p w14:paraId="0B9CE235" w14:textId="56897AFB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 xml:space="preserve">Integrace vstupenkového systému </w:t>
      </w:r>
      <w:proofErr w:type="spellStart"/>
      <w:proofErr w:type="gramStart"/>
      <w:r>
        <w:rPr>
          <w:szCs w:val="22"/>
        </w:rPr>
        <w:t>GoOut</w:t>
      </w:r>
      <w:proofErr w:type="spellEnd"/>
      <w:r>
        <w:rPr>
          <w:szCs w:val="22"/>
        </w:rPr>
        <w:t xml:space="preserve"> - provede</w:t>
      </w:r>
      <w:proofErr w:type="gramEnd"/>
      <w:r>
        <w:rPr>
          <w:szCs w:val="22"/>
        </w:rPr>
        <w:t xml:space="preserve"> technická podpora </w:t>
      </w:r>
      <w:proofErr w:type="spellStart"/>
      <w:r>
        <w:rPr>
          <w:szCs w:val="22"/>
        </w:rPr>
        <w:t>GoOutu</w:t>
      </w:r>
      <w:proofErr w:type="spellEnd"/>
      <w:r>
        <w:rPr>
          <w:szCs w:val="22"/>
        </w:rPr>
        <w:t xml:space="preserve"> v součinnosti s</w:t>
      </w:r>
      <w:r w:rsidR="005D09CB">
        <w:rPr>
          <w:szCs w:val="22"/>
        </w:rPr>
        <w:t>e</w:t>
      </w:r>
      <w:r>
        <w:rPr>
          <w:szCs w:val="22"/>
        </w:rPr>
        <w:t> </w:t>
      </w:r>
      <w:r w:rsidR="00B75253">
        <w:rPr>
          <w:szCs w:val="22"/>
        </w:rPr>
        <w:t>Zhotovitel</w:t>
      </w:r>
      <w:r>
        <w:rPr>
          <w:szCs w:val="22"/>
        </w:rPr>
        <w:t>em</w:t>
      </w:r>
    </w:p>
    <w:p w14:paraId="1C9EB165" w14:textId="6B456FBA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ind w:left="1506"/>
        <w:rPr>
          <w:szCs w:val="22"/>
        </w:rPr>
      </w:pPr>
      <w:r>
        <w:rPr>
          <w:szCs w:val="22"/>
        </w:rPr>
        <w:t xml:space="preserve">Integrace přihlašovacího formuláře pro </w:t>
      </w:r>
      <w:proofErr w:type="spellStart"/>
      <w:r>
        <w:rPr>
          <w:szCs w:val="22"/>
        </w:rPr>
        <w:t>Ecomail</w:t>
      </w:r>
      <w:proofErr w:type="spellEnd"/>
      <w:r>
        <w:rPr>
          <w:szCs w:val="22"/>
        </w:rPr>
        <w:t xml:space="preserve"> – provede </w:t>
      </w:r>
      <w:r w:rsidR="00B75253">
        <w:rPr>
          <w:szCs w:val="22"/>
        </w:rPr>
        <w:t>Zhotovitel</w:t>
      </w:r>
    </w:p>
    <w:p w14:paraId="0F0834A1" w14:textId="530B5BEC" w:rsidR="00EE6500" w:rsidRDefault="00EE6500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240"/>
        <w:ind w:left="1506"/>
      </w:pPr>
      <w:r>
        <w:rPr>
          <w:szCs w:val="22"/>
        </w:rPr>
        <w:t xml:space="preserve">Integrace Google </w:t>
      </w:r>
      <w:proofErr w:type="spellStart"/>
      <w:r>
        <w:rPr>
          <w:szCs w:val="22"/>
        </w:rPr>
        <w:t>Analytics</w:t>
      </w:r>
      <w:proofErr w:type="spellEnd"/>
      <w:r>
        <w:rPr>
          <w:szCs w:val="22"/>
        </w:rPr>
        <w:t xml:space="preserve"> – provede </w:t>
      </w:r>
      <w:r w:rsidR="00B75253">
        <w:rPr>
          <w:szCs w:val="22"/>
        </w:rPr>
        <w:t>Zhotovitel</w:t>
      </w:r>
    </w:p>
    <w:p w14:paraId="376356C8" w14:textId="4732F38F" w:rsidR="00EE6500" w:rsidRDefault="003A7E52" w:rsidP="004B650B">
      <w:pPr>
        <w:spacing w:after="120"/>
        <w:ind w:left="786"/>
        <w:rPr>
          <w:b/>
          <w:bCs/>
        </w:rPr>
      </w:pPr>
      <w:r>
        <w:rPr>
          <w:b/>
          <w:bCs/>
        </w:rPr>
        <w:lastRenderedPageBreak/>
        <w:t>1.</w:t>
      </w:r>
      <w:r w:rsidR="005374C7">
        <w:rPr>
          <w:b/>
          <w:bCs/>
        </w:rPr>
        <w:t>8</w:t>
      </w:r>
      <w:r>
        <w:rPr>
          <w:b/>
          <w:bCs/>
        </w:rPr>
        <w:t xml:space="preserve"> </w:t>
      </w:r>
      <w:r w:rsidR="00EE6500">
        <w:rPr>
          <w:b/>
          <w:bCs/>
        </w:rPr>
        <w:t>Služby třetích stran</w:t>
      </w:r>
    </w:p>
    <w:p w14:paraId="7904FD03" w14:textId="72B73915" w:rsidR="00EE6500" w:rsidRDefault="00B75253" w:rsidP="004B650B">
      <w:pPr>
        <w:spacing w:after="120"/>
        <w:ind w:left="786"/>
      </w:pPr>
      <w:r>
        <w:t>Zhotovitel</w:t>
      </w:r>
      <w:r w:rsidR="00EE6500">
        <w:t xml:space="preserve"> </w:t>
      </w:r>
      <w:r w:rsidR="00AA669A">
        <w:t xml:space="preserve">pro provoz webových stránek využije platformu </w:t>
      </w:r>
      <w:proofErr w:type="spellStart"/>
      <w:r w:rsidR="00AA669A">
        <w:t>Web</w:t>
      </w:r>
      <w:r w:rsidR="00567523">
        <w:t>flow</w:t>
      </w:r>
      <w:proofErr w:type="spellEnd"/>
      <w:r w:rsidR="00567523">
        <w:t>. Přitom musí být</w:t>
      </w:r>
      <w:r w:rsidR="00EE6500">
        <w:t xml:space="preserve"> zohledněny následující požadavky:</w:t>
      </w:r>
    </w:p>
    <w:p w14:paraId="5B60B043" w14:textId="270F7C09" w:rsidR="001422DF" w:rsidRDefault="00BD71AE" w:rsidP="00407787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120"/>
        <w:ind w:left="1502" w:hanging="357"/>
        <w:rPr>
          <w:szCs w:val="22"/>
        </w:rPr>
      </w:pPr>
      <w:r>
        <w:rPr>
          <w:szCs w:val="22"/>
        </w:rPr>
        <w:t>S</w:t>
      </w:r>
      <w:r w:rsidR="001422DF" w:rsidRPr="001422DF">
        <w:rPr>
          <w:szCs w:val="22"/>
        </w:rPr>
        <w:t xml:space="preserve">ystém </w:t>
      </w:r>
      <w:proofErr w:type="spellStart"/>
      <w:r w:rsidR="001422DF" w:rsidRPr="001422DF">
        <w:rPr>
          <w:szCs w:val="22"/>
        </w:rPr>
        <w:t>Webflow</w:t>
      </w:r>
      <w:proofErr w:type="spellEnd"/>
      <w:r>
        <w:rPr>
          <w:szCs w:val="22"/>
        </w:rPr>
        <w:t xml:space="preserve"> </w:t>
      </w:r>
      <w:r w:rsidR="00C07C49">
        <w:rPr>
          <w:szCs w:val="22"/>
        </w:rPr>
        <w:t>vyhov</w:t>
      </w:r>
      <w:r w:rsidR="001422DF" w:rsidRPr="001422DF">
        <w:rPr>
          <w:szCs w:val="22"/>
        </w:rPr>
        <w:t>uje vše</w:t>
      </w:r>
      <w:r w:rsidR="00C07C49">
        <w:rPr>
          <w:szCs w:val="22"/>
        </w:rPr>
        <w:t>m</w:t>
      </w:r>
      <w:r w:rsidR="001422DF" w:rsidRPr="001422DF">
        <w:rPr>
          <w:szCs w:val="22"/>
        </w:rPr>
        <w:t xml:space="preserve"> </w:t>
      </w:r>
      <w:r w:rsidR="00C07C49">
        <w:rPr>
          <w:szCs w:val="22"/>
        </w:rPr>
        <w:t>aktuální potřebám</w:t>
      </w:r>
      <w:r w:rsidR="001422DF" w:rsidRPr="001422DF">
        <w:rPr>
          <w:szCs w:val="22"/>
        </w:rPr>
        <w:t xml:space="preserve"> </w:t>
      </w:r>
      <w:r w:rsidR="002C40CF">
        <w:rPr>
          <w:szCs w:val="22"/>
        </w:rPr>
        <w:t>Objedn</w:t>
      </w:r>
      <w:r w:rsidR="001422DF" w:rsidRPr="001422DF">
        <w:rPr>
          <w:szCs w:val="22"/>
        </w:rPr>
        <w:t xml:space="preserve">atele. </w:t>
      </w:r>
      <w:r w:rsidR="00C9042C">
        <w:rPr>
          <w:szCs w:val="22"/>
        </w:rPr>
        <w:t xml:space="preserve">Zhotovitel doporučuje Objednateli </w:t>
      </w:r>
      <w:r w:rsidR="004646E1">
        <w:rPr>
          <w:szCs w:val="22"/>
        </w:rPr>
        <w:t xml:space="preserve">při práci </w:t>
      </w:r>
      <w:r w:rsidR="001422DF" w:rsidRPr="001422DF">
        <w:rPr>
          <w:szCs w:val="22"/>
        </w:rPr>
        <w:t xml:space="preserve">ve </w:t>
      </w:r>
      <w:proofErr w:type="spellStart"/>
      <w:r w:rsidR="001422DF" w:rsidRPr="001422DF">
        <w:rPr>
          <w:szCs w:val="22"/>
        </w:rPr>
        <w:t>Webflow</w:t>
      </w:r>
      <w:proofErr w:type="spellEnd"/>
      <w:r w:rsidR="001422DF" w:rsidRPr="001422DF">
        <w:rPr>
          <w:szCs w:val="22"/>
        </w:rPr>
        <w:t xml:space="preserve"> </w:t>
      </w:r>
      <w:r w:rsidR="004646E1">
        <w:rPr>
          <w:szCs w:val="22"/>
        </w:rPr>
        <w:t>f</w:t>
      </w:r>
      <w:r w:rsidR="004646E1" w:rsidRPr="001422DF">
        <w:rPr>
          <w:szCs w:val="22"/>
        </w:rPr>
        <w:t xml:space="preserve">otky </w:t>
      </w:r>
      <w:r w:rsidR="001422DF" w:rsidRPr="001422DF">
        <w:rPr>
          <w:szCs w:val="22"/>
        </w:rPr>
        <w:t>převádět do formátu AVIF</w:t>
      </w:r>
      <w:r w:rsidR="00C9042C">
        <w:rPr>
          <w:szCs w:val="22"/>
        </w:rPr>
        <w:t>,</w:t>
      </w:r>
      <w:r w:rsidR="00C07C49">
        <w:rPr>
          <w:szCs w:val="22"/>
        </w:rPr>
        <w:t xml:space="preserve"> v</w:t>
      </w:r>
      <w:r w:rsidR="001422DF" w:rsidRPr="001422DF">
        <w:rPr>
          <w:szCs w:val="22"/>
        </w:rPr>
        <w:t xml:space="preserve">idea vkládat přes </w:t>
      </w:r>
      <w:proofErr w:type="spellStart"/>
      <w:r w:rsidR="001422DF" w:rsidRPr="001422DF">
        <w:rPr>
          <w:szCs w:val="22"/>
        </w:rPr>
        <w:t>Youtube</w:t>
      </w:r>
      <w:proofErr w:type="spellEnd"/>
      <w:r w:rsidR="001422DF" w:rsidRPr="001422DF">
        <w:rPr>
          <w:szCs w:val="22"/>
        </w:rPr>
        <w:t xml:space="preserve"> nebo jinou službu třetích stran.</w:t>
      </w:r>
    </w:p>
    <w:p w14:paraId="5B5B111A" w14:textId="28B81BC6" w:rsidR="00EE6500" w:rsidRDefault="004646E1" w:rsidP="00407787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120"/>
        <w:ind w:left="1502" w:hanging="357"/>
        <w:rPr>
          <w:szCs w:val="22"/>
        </w:rPr>
      </w:pPr>
      <w:r>
        <w:rPr>
          <w:szCs w:val="22"/>
        </w:rPr>
        <w:t>Výchozí n</w:t>
      </w:r>
      <w:r w:rsidR="00DA028C">
        <w:rPr>
          <w:szCs w:val="22"/>
        </w:rPr>
        <w:t xml:space="preserve">astavení </w:t>
      </w:r>
      <w:r w:rsidR="0077701A">
        <w:rPr>
          <w:szCs w:val="22"/>
        </w:rPr>
        <w:t>webových stránek</w:t>
      </w:r>
      <w:r w:rsidR="001E6A52">
        <w:rPr>
          <w:szCs w:val="22"/>
        </w:rPr>
        <w:t xml:space="preserve"> </w:t>
      </w:r>
      <w:r w:rsidR="0046122C">
        <w:rPr>
          <w:szCs w:val="22"/>
        </w:rPr>
        <w:t xml:space="preserve">bude </w:t>
      </w:r>
      <w:r w:rsidR="006253EB">
        <w:rPr>
          <w:szCs w:val="22"/>
        </w:rPr>
        <w:t>odpovíd</w:t>
      </w:r>
      <w:r w:rsidR="0046122C">
        <w:rPr>
          <w:szCs w:val="22"/>
        </w:rPr>
        <w:t>at</w:t>
      </w:r>
      <w:r w:rsidR="00EE6500">
        <w:rPr>
          <w:szCs w:val="22"/>
        </w:rPr>
        <w:t xml:space="preserve"> </w:t>
      </w:r>
      <w:r>
        <w:rPr>
          <w:szCs w:val="22"/>
        </w:rPr>
        <w:t xml:space="preserve">zde popsané </w:t>
      </w:r>
      <w:r w:rsidR="00EE6500">
        <w:rPr>
          <w:szCs w:val="22"/>
        </w:rPr>
        <w:t>navrhovan</w:t>
      </w:r>
      <w:r w:rsidR="0046122C">
        <w:rPr>
          <w:szCs w:val="22"/>
        </w:rPr>
        <w:t>é</w:t>
      </w:r>
      <w:r w:rsidR="00EE6500">
        <w:rPr>
          <w:szCs w:val="22"/>
        </w:rPr>
        <w:t xml:space="preserve"> funkčnost</w:t>
      </w:r>
      <w:r w:rsidR="0046122C">
        <w:rPr>
          <w:szCs w:val="22"/>
        </w:rPr>
        <w:t>i</w:t>
      </w:r>
      <w:r w:rsidR="00EE6500">
        <w:rPr>
          <w:szCs w:val="22"/>
        </w:rPr>
        <w:t xml:space="preserve"> a technick</w:t>
      </w:r>
      <w:r w:rsidR="000022C0">
        <w:rPr>
          <w:szCs w:val="22"/>
        </w:rPr>
        <w:t>ým</w:t>
      </w:r>
      <w:r w:rsidR="00EE6500">
        <w:rPr>
          <w:szCs w:val="22"/>
        </w:rPr>
        <w:t xml:space="preserve"> parametr</w:t>
      </w:r>
      <w:r w:rsidR="0046122C">
        <w:rPr>
          <w:szCs w:val="22"/>
        </w:rPr>
        <w:t>ům</w:t>
      </w:r>
      <w:r w:rsidR="00EE6500">
        <w:rPr>
          <w:szCs w:val="22"/>
        </w:rPr>
        <w:t xml:space="preserve"> webu</w:t>
      </w:r>
      <w:r w:rsidR="00B10ED0">
        <w:rPr>
          <w:szCs w:val="22"/>
        </w:rPr>
        <w:t xml:space="preserve"> ze strany zhotovitele</w:t>
      </w:r>
      <w:r w:rsidR="00DA028C">
        <w:rPr>
          <w:szCs w:val="22"/>
        </w:rPr>
        <w:t>.</w:t>
      </w:r>
      <w:r w:rsidR="00EE6500">
        <w:rPr>
          <w:szCs w:val="22"/>
        </w:rPr>
        <w:t xml:space="preserve"> Pokud </w:t>
      </w:r>
      <w:r w:rsidR="00DC5B70">
        <w:rPr>
          <w:szCs w:val="22"/>
        </w:rPr>
        <w:t>Objednatel</w:t>
      </w:r>
      <w:r w:rsidR="00EE6500">
        <w:rPr>
          <w:szCs w:val="22"/>
        </w:rPr>
        <w:t xml:space="preserve"> během užívání webu z vlastního rozhodnutí tyto parametry přesáhne, za zvýšené náklady na služby třetích stran nese odpovědnost </w:t>
      </w:r>
      <w:r w:rsidR="00DC5B70">
        <w:rPr>
          <w:szCs w:val="22"/>
        </w:rPr>
        <w:t>Objednatel</w:t>
      </w:r>
      <w:r w:rsidR="00EE6500">
        <w:rPr>
          <w:szCs w:val="22"/>
        </w:rPr>
        <w:t>.</w:t>
      </w:r>
    </w:p>
    <w:p w14:paraId="4FABF739" w14:textId="2AD854EA" w:rsidR="00EE6500" w:rsidRDefault="00E210A7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120"/>
        <w:ind w:left="1506"/>
        <w:rPr>
          <w:szCs w:val="22"/>
        </w:rPr>
      </w:pPr>
      <w:r>
        <w:rPr>
          <w:szCs w:val="22"/>
        </w:rPr>
        <w:t>P</w:t>
      </w:r>
      <w:r w:rsidR="00EE6500">
        <w:rPr>
          <w:szCs w:val="22"/>
        </w:rPr>
        <w:t xml:space="preserve">okud se ukáže, že </w:t>
      </w:r>
      <w:r>
        <w:rPr>
          <w:szCs w:val="22"/>
        </w:rPr>
        <w:t xml:space="preserve">výchozí </w:t>
      </w:r>
      <w:r w:rsidR="00EE6500">
        <w:rPr>
          <w:szCs w:val="22"/>
        </w:rPr>
        <w:t xml:space="preserve">nastavení webu je v rozporu se základními provozními potřebami </w:t>
      </w:r>
      <w:r w:rsidR="00DC5B70">
        <w:rPr>
          <w:szCs w:val="22"/>
        </w:rPr>
        <w:t>Objednatel</w:t>
      </w:r>
      <w:r w:rsidR="00EE6500">
        <w:rPr>
          <w:szCs w:val="22"/>
        </w:rPr>
        <w:t>e dle seznámení s jeho aktuálním webem a zohledněním přiměřené rezervy</w:t>
      </w:r>
      <w:r>
        <w:rPr>
          <w:szCs w:val="22"/>
        </w:rPr>
        <w:t xml:space="preserve">, budou </w:t>
      </w:r>
      <w:r w:rsidR="0077701A">
        <w:rPr>
          <w:szCs w:val="22"/>
        </w:rPr>
        <w:t>náklady přesahující níže uvedenou kalkulaci služeb třetích stran po dobu 24 měsíců od předání hotového díla hrazeny Zhotovitelem, a to s výjimkou zvýšení ceny</w:t>
      </w:r>
      <w:r w:rsidR="005F4328">
        <w:rPr>
          <w:szCs w:val="22"/>
        </w:rPr>
        <w:t xml:space="preserve"> při nezměněném rozsahu služeb</w:t>
      </w:r>
      <w:r w:rsidR="001B2648">
        <w:rPr>
          <w:szCs w:val="22"/>
        </w:rPr>
        <w:t xml:space="preserve"> z </w:t>
      </w:r>
      <w:r w:rsidR="005F4328">
        <w:rPr>
          <w:szCs w:val="22"/>
        </w:rPr>
        <w:t>rozhodnutí</w:t>
      </w:r>
      <w:r w:rsidR="001B2648">
        <w:rPr>
          <w:szCs w:val="22"/>
        </w:rPr>
        <w:t xml:space="preserve"> třetích stran.</w:t>
      </w:r>
    </w:p>
    <w:p w14:paraId="505EFEE4" w14:textId="4930B9BE" w:rsidR="007C5FC6" w:rsidRPr="007C5FC6" w:rsidRDefault="007C5FC6" w:rsidP="004B650B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120"/>
        <w:ind w:left="1506"/>
        <w:rPr>
          <w:szCs w:val="22"/>
        </w:rPr>
      </w:pPr>
      <w:r>
        <w:rPr>
          <w:b/>
          <w:bCs/>
          <w:szCs w:val="22"/>
        </w:rPr>
        <w:t xml:space="preserve">Kalkulace nákladů na služby třetích stran – dle aktuálního ceníku </w:t>
      </w:r>
      <w:proofErr w:type="spellStart"/>
      <w:r>
        <w:rPr>
          <w:b/>
          <w:bCs/>
          <w:szCs w:val="22"/>
        </w:rPr>
        <w:t>Webflow</w:t>
      </w:r>
      <w:proofErr w:type="spellEnd"/>
      <w:r>
        <w:rPr>
          <w:b/>
          <w:bCs/>
          <w:szCs w:val="22"/>
        </w:rPr>
        <w:t>:</w:t>
      </w:r>
    </w:p>
    <w:p w14:paraId="2DA95718" w14:textId="04D03774" w:rsidR="007C5FC6" w:rsidRDefault="007C5FC6" w:rsidP="007C5FC6">
      <w:pPr>
        <w:pStyle w:val="Odstavecseseznamem"/>
        <w:numPr>
          <w:ilvl w:val="2"/>
          <w:numId w:val="30"/>
        </w:numPr>
        <w:spacing w:after="120"/>
        <w:rPr>
          <w:szCs w:val="22"/>
        </w:rPr>
      </w:pPr>
      <w:r w:rsidRPr="007C5FC6">
        <w:rPr>
          <w:szCs w:val="22"/>
        </w:rPr>
        <w:t xml:space="preserve">Business </w:t>
      </w:r>
      <w:proofErr w:type="spellStart"/>
      <w:r w:rsidRPr="007C5FC6">
        <w:rPr>
          <w:szCs w:val="22"/>
        </w:rPr>
        <w:t>plan</w:t>
      </w:r>
      <w:proofErr w:type="spellEnd"/>
      <w:r>
        <w:rPr>
          <w:szCs w:val="22"/>
        </w:rPr>
        <w:t>:</w:t>
      </w:r>
      <w:r w:rsidRPr="007C5FC6">
        <w:rPr>
          <w:szCs w:val="22"/>
        </w:rPr>
        <w:t xml:space="preserve"> </w:t>
      </w:r>
      <w:r w:rsidR="003A7E52">
        <w:rPr>
          <w:szCs w:val="22"/>
        </w:rPr>
        <w:tab/>
      </w:r>
      <w:r w:rsidR="003A7E52">
        <w:rPr>
          <w:szCs w:val="22"/>
        </w:rPr>
        <w:tab/>
      </w:r>
      <w:r w:rsidRPr="007C5FC6">
        <w:rPr>
          <w:szCs w:val="22"/>
        </w:rPr>
        <w:t xml:space="preserve">39 USD </w:t>
      </w:r>
    </w:p>
    <w:p w14:paraId="61DF5583" w14:textId="75CD68FD" w:rsidR="007C5FC6" w:rsidRDefault="007C5FC6" w:rsidP="007C5FC6">
      <w:pPr>
        <w:pStyle w:val="Odstavecseseznamem"/>
        <w:numPr>
          <w:ilvl w:val="2"/>
          <w:numId w:val="30"/>
        </w:numPr>
        <w:spacing w:after="120"/>
        <w:rPr>
          <w:szCs w:val="22"/>
        </w:rPr>
      </w:pPr>
      <w:r w:rsidRPr="007C5FC6">
        <w:rPr>
          <w:szCs w:val="22"/>
        </w:rPr>
        <w:t>Lokalizace</w:t>
      </w:r>
      <w:r>
        <w:rPr>
          <w:szCs w:val="22"/>
        </w:rPr>
        <w:t>:</w:t>
      </w:r>
      <w:r w:rsidRPr="007C5FC6">
        <w:rPr>
          <w:szCs w:val="22"/>
        </w:rPr>
        <w:t xml:space="preserve"> </w:t>
      </w:r>
      <w:r w:rsidR="003A7E52">
        <w:rPr>
          <w:szCs w:val="22"/>
        </w:rPr>
        <w:tab/>
      </w:r>
      <w:r w:rsidR="003A7E52">
        <w:rPr>
          <w:szCs w:val="22"/>
        </w:rPr>
        <w:tab/>
      </w:r>
      <w:r w:rsidRPr="007C5FC6">
        <w:rPr>
          <w:szCs w:val="22"/>
        </w:rPr>
        <w:t xml:space="preserve">29 USD </w:t>
      </w:r>
    </w:p>
    <w:p w14:paraId="34E52A16" w14:textId="6441AFCA" w:rsidR="007C5FC6" w:rsidRDefault="007C5FC6" w:rsidP="007C5FC6">
      <w:pPr>
        <w:pStyle w:val="Odstavecseseznamem"/>
        <w:numPr>
          <w:ilvl w:val="2"/>
          <w:numId w:val="30"/>
        </w:numPr>
        <w:spacing w:after="120"/>
        <w:rPr>
          <w:szCs w:val="22"/>
        </w:rPr>
      </w:pPr>
      <w:r w:rsidRPr="007C5FC6">
        <w:rPr>
          <w:szCs w:val="22"/>
        </w:rPr>
        <w:t>200 GB dat navíc</w:t>
      </w:r>
      <w:r>
        <w:rPr>
          <w:szCs w:val="22"/>
        </w:rPr>
        <w:t>:</w:t>
      </w:r>
      <w:r w:rsidRPr="007C5FC6">
        <w:rPr>
          <w:szCs w:val="22"/>
        </w:rPr>
        <w:t xml:space="preserve"> </w:t>
      </w:r>
      <w:r w:rsidR="003A7E52">
        <w:rPr>
          <w:szCs w:val="22"/>
        </w:rPr>
        <w:tab/>
      </w:r>
      <w:r w:rsidRPr="007C5FC6">
        <w:rPr>
          <w:szCs w:val="22"/>
        </w:rPr>
        <w:t xml:space="preserve">80 USD </w:t>
      </w:r>
    </w:p>
    <w:p w14:paraId="080E0F30" w14:textId="4701B837" w:rsidR="007C5FC6" w:rsidRPr="007C5FC6" w:rsidRDefault="007C5FC6" w:rsidP="007C5FC6">
      <w:pPr>
        <w:pStyle w:val="Odstavecseseznamem"/>
        <w:numPr>
          <w:ilvl w:val="2"/>
          <w:numId w:val="30"/>
        </w:numPr>
        <w:spacing w:after="120"/>
        <w:rPr>
          <w:b/>
          <w:bCs/>
          <w:szCs w:val="22"/>
        </w:rPr>
      </w:pPr>
      <w:r w:rsidRPr="007C5FC6">
        <w:rPr>
          <w:b/>
          <w:bCs/>
          <w:szCs w:val="22"/>
        </w:rPr>
        <w:t xml:space="preserve">Cena za 24 měsíců: </w:t>
      </w:r>
      <w:r w:rsidR="003A7E52">
        <w:rPr>
          <w:b/>
          <w:bCs/>
          <w:szCs w:val="22"/>
        </w:rPr>
        <w:tab/>
      </w:r>
      <w:r w:rsidRPr="007C5FC6">
        <w:rPr>
          <w:b/>
          <w:bCs/>
          <w:szCs w:val="22"/>
        </w:rPr>
        <w:t>3 552 USD</w:t>
      </w:r>
    </w:p>
    <w:p w14:paraId="3859E114" w14:textId="686B2562" w:rsidR="00162180" w:rsidRPr="00407787" w:rsidRDefault="00F73F0F" w:rsidP="00407787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240"/>
        <w:ind w:left="1502" w:hanging="357"/>
        <w:rPr>
          <w:szCs w:val="22"/>
        </w:rPr>
      </w:pPr>
      <w:r>
        <w:rPr>
          <w:szCs w:val="22"/>
        </w:rPr>
        <w:t xml:space="preserve">Třetí strana </w:t>
      </w:r>
      <w:r w:rsidR="00EE6500">
        <w:rPr>
          <w:szCs w:val="22"/>
        </w:rPr>
        <w:t>uchováv</w:t>
      </w:r>
      <w:r>
        <w:rPr>
          <w:szCs w:val="22"/>
        </w:rPr>
        <w:t>á</w:t>
      </w:r>
      <w:r w:rsidR="00EE6500">
        <w:rPr>
          <w:szCs w:val="22"/>
        </w:rPr>
        <w:t xml:space="preserve"> data </w:t>
      </w:r>
      <w:r w:rsidR="00EE6500">
        <w:t>v režimu předání osobních údajů do zahraničí (mimo EU) založené</w:t>
      </w:r>
      <w:r w:rsidR="00162180">
        <w:t>m</w:t>
      </w:r>
      <w:r w:rsidR="00EE6500">
        <w:t xml:space="preserve"> na </w:t>
      </w:r>
      <w:r w:rsidR="00EE6500" w:rsidRPr="00162180">
        <w:rPr>
          <w:b/>
          <w:bCs/>
        </w:rPr>
        <w:t xml:space="preserve">rozhodnutí o odpovídající </w:t>
      </w:r>
      <w:proofErr w:type="gramStart"/>
      <w:r w:rsidR="00EE6500" w:rsidRPr="00162180">
        <w:rPr>
          <w:b/>
          <w:bCs/>
        </w:rPr>
        <w:t>ochraně</w:t>
      </w:r>
      <w:r w:rsidR="00EE6500">
        <w:t xml:space="preserve"> - osobní</w:t>
      </w:r>
      <w:proofErr w:type="gramEnd"/>
      <w:r w:rsidR="00EE6500">
        <w:t xml:space="preserve"> údaje předány na základě rozhodnutí orgánu Evropské unie – viz níže (EU – U.S. </w:t>
      </w:r>
      <w:proofErr w:type="spellStart"/>
      <w:r w:rsidR="00EE6500">
        <w:t>Privacy</w:t>
      </w:r>
      <w:proofErr w:type="spellEnd"/>
      <w:r w:rsidR="00EE6500">
        <w:t xml:space="preserve"> </w:t>
      </w:r>
      <w:proofErr w:type="spellStart"/>
      <w:r w:rsidR="00EE6500">
        <w:t>Shield</w:t>
      </w:r>
      <w:proofErr w:type="spellEnd"/>
      <w:r w:rsidR="00EE6500">
        <w:t>) - PROVÁDĚCÍ ROZHODNUTÍ KOMISE (EU) 2016/1250 ze dne 12. července 2016 podle směrnice Evropského parlamentu a Rady 95/46/ES o odpovídající úrovni ochrany poskytované štítem EU–USA na ochranu soukromí</w:t>
      </w:r>
      <w:r w:rsidR="00EE6500" w:rsidRPr="00162180">
        <w:rPr>
          <w:b/>
          <w:bCs/>
        </w:rPr>
        <w:t xml:space="preserve"> </w:t>
      </w:r>
      <w:r w:rsidR="00EE6500" w:rsidRPr="00162180">
        <w:rPr>
          <w:i/>
          <w:iCs/>
        </w:rPr>
        <w:t xml:space="preserve">(oznámeno pod číslem </w:t>
      </w:r>
      <w:proofErr w:type="gramStart"/>
      <w:r w:rsidR="00EE6500" w:rsidRPr="00162180">
        <w:rPr>
          <w:i/>
          <w:iCs/>
        </w:rPr>
        <w:t>C(</w:t>
      </w:r>
      <w:proofErr w:type="gramEnd"/>
      <w:r w:rsidR="00EE6500" w:rsidRPr="00162180">
        <w:rPr>
          <w:i/>
          <w:iCs/>
        </w:rPr>
        <w:t xml:space="preserve">2016) 4176). </w:t>
      </w:r>
      <w:r w:rsidR="00EE6500">
        <w:t>Jako zvláštní nástroj k zajištění odpovídající úrovně ochrany osobních údajů i po jejich předání příjemci do Spojených států amerických vytvořila Evropská komise společně s vládními orgány Spojených států amerických systém „štítu soukromí“ („</w:t>
      </w:r>
      <w:proofErr w:type="spellStart"/>
      <w:r w:rsidR="00EE6500">
        <w:t>Privacy</w:t>
      </w:r>
      <w:proofErr w:type="spellEnd"/>
      <w:r w:rsidR="00EE6500">
        <w:t xml:space="preserve"> </w:t>
      </w:r>
      <w:proofErr w:type="spellStart"/>
      <w:r w:rsidR="00EE6500">
        <w:t>Shield</w:t>
      </w:r>
      <w:proofErr w:type="spellEnd"/>
      <w:r w:rsidR="00EE6500">
        <w:t xml:space="preserve">“). Na adrese </w:t>
      </w:r>
      <w:hyperlink r:id="rId9" w:tgtFrame="_top">
        <w:r w:rsidR="00EE6500">
          <w:rPr>
            <w:rStyle w:val="Hypertextovodkaz"/>
          </w:rPr>
          <w:t>https://www.privacyshield.gov/list</w:t>
        </w:r>
      </w:hyperlink>
      <w:r w:rsidR="00EE6500">
        <w:t xml:space="preserve"> je k nalezení se</w:t>
      </w:r>
      <w:r w:rsidR="00162180">
        <w:t>z</w:t>
      </w:r>
      <w:r w:rsidR="00EE6500">
        <w:t xml:space="preserve">nam organizací s aktivním členstvím v programu EU – U.S. </w:t>
      </w:r>
      <w:proofErr w:type="spellStart"/>
      <w:r w:rsidR="00EE6500">
        <w:t>Privacy</w:t>
      </w:r>
      <w:proofErr w:type="spellEnd"/>
      <w:r w:rsidR="00EE6500">
        <w:t xml:space="preserve"> </w:t>
      </w:r>
      <w:proofErr w:type="spellStart"/>
      <w:r w:rsidR="00EE6500">
        <w:t>Shield</w:t>
      </w:r>
      <w:proofErr w:type="spellEnd"/>
      <w:r w:rsidR="00162180">
        <w:t>.</w:t>
      </w:r>
    </w:p>
    <w:p w14:paraId="09845599" w14:textId="3FF2D272" w:rsidR="00837A38" w:rsidRDefault="00837A38" w:rsidP="00837A38">
      <w:pPr>
        <w:spacing w:after="120"/>
        <w:ind w:left="786"/>
        <w:rPr>
          <w:b/>
          <w:bCs/>
        </w:rPr>
      </w:pPr>
      <w:r>
        <w:rPr>
          <w:b/>
          <w:bCs/>
        </w:rPr>
        <w:t>1.</w:t>
      </w:r>
      <w:r w:rsidR="005374C7">
        <w:rPr>
          <w:b/>
          <w:bCs/>
        </w:rPr>
        <w:t>9</w:t>
      </w:r>
      <w:r>
        <w:rPr>
          <w:b/>
          <w:bCs/>
        </w:rPr>
        <w:t xml:space="preserve"> Technická podpora</w:t>
      </w:r>
    </w:p>
    <w:p w14:paraId="34D4855B" w14:textId="77777777" w:rsidR="00837A38" w:rsidRDefault="00837A38" w:rsidP="00837A38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120"/>
        <w:ind w:left="1506"/>
      </w:pPr>
      <w:r>
        <w:rPr>
          <w:szCs w:val="22"/>
        </w:rPr>
        <w:t>Zhotovitel odpovídá za technické chyby vzniklé v souvislosti s běžným provozem webu po dobu jednoho roku, které odstraní v režimu záručního servisu</w:t>
      </w:r>
    </w:p>
    <w:p w14:paraId="39E10B89" w14:textId="32105D12" w:rsidR="00837A38" w:rsidRPr="00407787" w:rsidRDefault="00837A38" w:rsidP="00407787">
      <w:pPr>
        <w:pStyle w:val="Odstavecseseznamem"/>
        <w:numPr>
          <w:ilvl w:val="0"/>
          <w:numId w:val="30"/>
        </w:numPr>
        <w:tabs>
          <w:tab w:val="clear" w:pos="0"/>
          <w:tab w:val="num" w:pos="786"/>
        </w:tabs>
        <w:spacing w:after="240"/>
        <w:ind w:left="1502" w:hanging="357"/>
      </w:pPr>
      <w:r>
        <w:rPr>
          <w:szCs w:val="22"/>
        </w:rPr>
        <w:t>Reakční doba řešení ohlášeného technického problému musí být maximálně následující pracovní den</w:t>
      </w:r>
    </w:p>
    <w:p w14:paraId="513B1165" w14:textId="55D93D27" w:rsidR="004E28A8" w:rsidRPr="00837A38" w:rsidRDefault="004E28A8" w:rsidP="00833753">
      <w:pPr>
        <w:pStyle w:val="Odstavecseseznamem"/>
        <w:numPr>
          <w:ilvl w:val="0"/>
          <w:numId w:val="24"/>
        </w:numPr>
        <w:spacing w:after="120"/>
        <w:rPr>
          <w:b/>
          <w:bCs/>
        </w:rPr>
      </w:pPr>
      <w:r w:rsidRPr="00837A38">
        <w:rPr>
          <w:b/>
          <w:bCs/>
        </w:rPr>
        <w:t xml:space="preserve">Postup </w:t>
      </w:r>
      <w:r w:rsidR="003A7E52" w:rsidRPr="00837A38">
        <w:rPr>
          <w:b/>
          <w:bCs/>
        </w:rPr>
        <w:t xml:space="preserve">vytvoření díla dle </w:t>
      </w:r>
      <w:r w:rsidRPr="00837A38">
        <w:rPr>
          <w:b/>
          <w:bCs/>
        </w:rPr>
        <w:t xml:space="preserve">nabídky </w:t>
      </w:r>
      <w:r w:rsidR="003A7E52" w:rsidRPr="00837A38">
        <w:rPr>
          <w:b/>
          <w:bCs/>
        </w:rPr>
        <w:t>zhotovitele</w:t>
      </w:r>
      <w:r w:rsidRPr="00837A38">
        <w:rPr>
          <w:b/>
          <w:bCs/>
        </w:rPr>
        <w:t xml:space="preserve"> musí </w:t>
      </w:r>
      <w:r w:rsidR="00407787">
        <w:rPr>
          <w:b/>
          <w:bCs/>
        </w:rPr>
        <w:t>vést k naplnění</w:t>
      </w:r>
      <w:r w:rsidRPr="00837A38">
        <w:rPr>
          <w:b/>
          <w:bCs/>
        </w:rPr>
        <w:t xml:space="preserve"> předmětu smlouvy </w:t>
      </w:r>
      <w:r w:rsidR="00407787">
        <w:rPr>
          <w:b/>
          <w:bCs/>
        </w:rPr>
        <w:t xml:space="preserve">ve vymezení </w:t>
      </w:r>
      <w:r w:rsidRPr="00837A38">
        <w:rPr>
          <w:b/>
          <w:bCs/>
        </w:rPr>
        <w:t xml:space="preserve">dle </w:t>
      </w:r>
      <w:r w:rsidR="00407787">
        <w:rPr>
          <w:b/>
          <w:bCs/>
        </w:rPr>
        <w:t xml:space="preserve">čl. II, </w:t>
      </w:r>
      <w:r w:rsidRPr="00837A38">
        <w:rPr>
          <w:b/>
          <w:bCs/>
        </w:rPr>
        <w:t>odst</w:t>
      </w:r>
      <w:r w:rsidR="00407787">
        <w:rPr>
          <w:b/>
          <w:bCs/>
        </w:rPr>
        <w:t>. 1 této smlouvy</w:t>
      </w:r>
      <w:r w:rsidRPr="00837A38">
        <w:rPr>
          <w:b/>
          <w:bCs/>
        </w:rPr>
        <w:t>. Postup uvedený v nabídce zhotovitele je následující:</w:t>
      </w:r>
    </w:p>
    <w:p w14:paraId="6245A7E1" w14:textId="5DDA36A4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r w:rsidRPr="004E28A8">
        <w:t>Strategický workshop</w:t>
      </w:r>
    </w:p>
    <w:p w14:paraId="154F0BC1" w14:textId="1ED2AC45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r w:rsidRPr="004E28A8">
        <w:t>Interní rozhovory</w:t>
      </w:r>
    </w:p>
    <w:p w14:paraId="75E4CC2A" w14:textId="72D3A0F4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r w:rsidRPr="004E28A8">
        <w:t>Návrh informační architektury</w:t>
      </w:r>
    </w:p>
    <w:p w14:paraId="7E54C218" w14:textId="0A6B192D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r w:rsidRPr="004E28A8">
        <w:t>Skici (mobil)</w:t>
      </w:r>
    </w:p>
    <w:p w14:paraId="69654FDB" w14:textId="4A1370BA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r w:rsidRPr="004E28A8">
        <w:t>Workshop revize skic</w:t>
      </w:r>
    </w:p>
    <w:p w14:paraId="40A54D33" w14:textId="6A94C634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r w:rsidRPr="004E28A8">
        <w:t>Grafika webu</w:t>
      </w:r>
    </w:p>
    <w:p w14:paraId="398FF215" w14:textId="688495E0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proofErr w:type="spellStart"/>
      <w:r w:rsidRPr="004E28A8">
        <w:t>Webflow</w:t>
      </w:r>
      <w:proofErr w:type="spellEnd"/>
    </w:p>
    <w:p w14:paraId="53890882" w14:textId="7E52301A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r w:rsidRPr="004E28A8">
        <w:lastRenderedPageBreak/>
        <w:t>E-</w:t>
      </w:r>
      <w:proofErr w:type="spellStart"/>
      <w:r w:rsidRPr="004E28A8">
        <w:t>publishing</w:t>
      </w:r>
      <w:proofErr w:type="spellEnd"/>
    </w:p>
    <w:p w14:paraId="7E97A811" w14:textId="7DC2EAEB" w:rsidR="003A7E52" w:rsidRPr="004E28A8" w:rsidRDefault="003A7E52" w:rsidP="004E28A8">
      <w:pPr>
        <w:pStyle w:val="Odstavecseseznamem"/>
        <w:numPr>
          <w:ilvl w:val="0"/>
          <w:numId w:val="33"/>
        </w:numPr>
        <w:ind w:left="1502" w:hanging="357"/>
      </w:pPr>
      <w:r w:rsidRPr="004E28A8">
        <w:t>Projektové řízení</w:t>
      </w:r>
    </w:p>
    <w:p w14:paraId="15A3A5BC" w14:textId="77777777" w:rsidR="007C5FC6" w:rsidRDefault="007C5FC6" w:rsidP="004B650B">
      <w:pPr>
        <w:spacing w:after="120"/>
        <w:ind w:left="786"/>
        <w:rPr>
          <w:b/>
          <w:bCs/>
        </w:rPr>
      </w:pPr>
    </w:p>
    <w:p w14:paraId="6BF7C878" w14:textId="6F53EB82" w:rsidR="005374C7" w:rsidRPr="008B3127" w:rsidRDefault="005374C7" w:rsidP="005374C7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>Článek I</w:t>
      </w:r>
      <w:r>
        <w:rPr>
          <w:rFonts w:eastAsia="Arial Unicode MS" w:cstheme="minorHAnsi"/>
          <w:b/>
          <w:bCs/>
          <w:color w:val="000000"/>
          <w:kern w:val="1"/>
        </w:rPr>
        <w:t>II</w:t>
      </w:r>
      <w:r w:rsidRPr="008B3127">
        <w:rPr>
          <w:rFonts w:eastAsia="Arial Unicode MS" w:cstheme="minorHAnsi"/>
          <w:b/>
          <w:bCs/>
          <w:color w:val="000000"/>
          <w:kern w:val="1"/>
        </w:rPr>
        <w:t>.</w:t>
      </w:r>
    </w:p>
    <w:p w14:paraId="1BD281C8" w14:textId="77777777" w:rsidR="005374C7" w:rsidRPr="008B3127" w:rsidRDefault="005374C7" w:rsidP="005374C7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>Termín plnění</w:t>
      </w:r>
    </w:p>
    <w:p w14:paraId="75C99591" w14:textId="77777777" w:rsidR="005374C7" w:rsidRPr="008B3127" w:rsidRDefault="005374C7" w:rsidP="005374C7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517BD98E" w14:textId="685C0A3E" w:rsidR="005374C7" w:rsidRPr="005374C7" w:rsidRDefault="005374C7" w:rsidP="005374C7">
      <w:pPr>
        <w:pStyle w:val="Odstavecseseznamem"/>
        <w:numPr>
          <w:ilvl w:val="0"/>
          <w:numId w:val="35"/>
        </w:numPr>
        <w:autoSpaceDE w:val="0"/>
        <w:ind w:left="426"/>
        <w:rPr>
          <w:rFonts w:cstheme="minorHAnsi"/>
          <w:color w:val="000000"/>
        </w:rPr>
      </w:pPr>
      <w:r w:rsidRPr="005374C7">
        <w:rPr>
          <w:rFonts w:cstheme="minorHAnsi"/>
          <w:color w:val="000000"/>
        </w:rPr>
        <w:t>Zhotovitel se v rámci plnění předmětu této smlouvy zavazuje předávat výstupy v následujících termínech:</w:t>
      </w:r>
    </w:p>
    <w:p w14:paraId="1755FC6C" w14:textId="77777777" w:rsidR="005374C7" w:rsidRDefault="005374C7" w:rsidP="005374C7">
      <w:pPr>
        <w:autoSpaceDE w:val="0"/>
        <w:spacing w:after="0"/>
        <w:rPr>
          <w:rFonts w:cstheme="minorHAnsi"/>
          <w:color w:val="000000"/>
        </w:rPr>
      </w:pPr>
    </w:p>
    <w:p w14:paraId="58EB6B58" w14:textId="311B97A9" w:rsidR="005374C7" w:rsidRPr="005374C7" w:rsidRDefault="005374C7" w:rsidP="005374C7">
      <w:pPr>
        <w:pStyle w:val="Odstavecseseznamem"/>
        <w:numPr>
          <w:ilvl w:val="0"/>
          <w:numId w:val="36"/>
        </w:numPr>
        <w:spacing w:after="120"/>
        <w:ind w:left="426"/>
        <w:rPr>
          <w:szCs w:val="22"/>
        </w:rPr>
      </w:pPr>
      <w:r w:rsidRPr="005374C7">
        <w:rPr>
          <w:rFonts w:cstheme="minorHAnsi"/>
        </w:rPr>
        <w:t>Realizace strategického workshopu a individuálních rozhovorů, analýza výchozího stavu: do 15.6. 2025</w:t>
      </w:r>
    </w:p>
    <w:p w14:paraId="58C17AEC" w14:textId="101EDF4C" w:rsidR="005374C7" w:rsidRPr="005374C7" w:rsidRDefault="005374C7" w:rsidP="005374C7">
      <w:pPr>
        <w:pStyle w:val="Odstavecseseznamem"/>
        <w:numPr>
          <w:ilvl w:val="0"/>
          <w:numId w:val="36"/>
        </w:numPr>
        <w:spacing w:after="120"/>
        <w:ind w:left="426"/>
        <w:rPr>
          <w:szCs w:val="22"/>
        </w:rPr>
      </w:pPr>
      <w:r w:rsidRPr="005374C7">
        <w:rPr>
          <w:szCs w:val="22"/>
        </w:rPr>
        <w:t>Předání funkčního prototypu webových stránek vč. návrhu struktury:</w:t>
      </w:r>
      <w:r w:rsidRPr="005374C7">
        <w:rPr>
          <w:szCs w:val="22"/>
        </w:rPr>
        <w:tab/>
      </w:r>
      <w:r w:rsidRPr="005374C7">
        <w:rPr>
          <w:szCs w:val="22"/>
        </w:rPr>
        <w:tab/>
        <w:t>do 15. 7. 2025</w:t>
      </w:r>
    </w:p>
    <w:p w14:paraId="119598B6" w14:textId="59E3F21F" w:rsidR="005374C7" w:rsidRPr="005374C7" w:rsidRDefault="005374C7" w:rsidP="005374C7">
      <w:pPr>
        <w:pStyle w:val="Odstavecseseznamem"/>
        <w:numPr>
          <w:ilvl w:val="0"/>
          <w:numId w:val="36"/>
        </w:numPr>
        <w:spacing w:after="120"/>
        <w:ind w:left="426"/>
        <w:rPr>
          <w:szCs w:val="22"/>
        </w:rPr>
      </w:pPr>
      <w:r w:rsidRPr="005374C7">
        <w:rPr>
          <w:szCs w:val="22"/>
        </w:rPr>
        <w:t xml:space="preserve">Spuštění části webu s programem (předpoklad integrace </w:t>
      </w:r>
      <w:proofErr w:type="spellStart"/>
      <w:r w:rsidRPr="005374C7">
        <w:rPr>
          <w:szCs w:val="22"/>
        </w:rPr>
        <w:t>Goout</w:t>
      </w:r>
      <w:proofErr w:type="spellEnd"/>
      <w:r w:rsidRPr="005374C7">
        <w:rPr>
          <w:szCs w:val="22"/>
        </w:rPr>
        <w:t>):</w:t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  <w:t>do 30. 7. 2025</w:t>
      </w:r>
    </w:p>
    <w:p w14:paraId="331043F4" w14:textId="7513FA2D" w:rsidR="005374C7" w:rsidRPr="005374C7" w:rsidRDefault="005374C7" w:rsidP="005374C7">
      <w:pPr>
        <w:pStyle w:val="Odstavecseseznamem"/>
        <w:numPr>
          <w:ilvl w:val="0"/>
          <w:numId w:val="36"/>
        </w:numPr>
        <w:spacing w:after="120"/>
        <w:ind w:left="426"/>
        <w:rPr>
          <w:szCs w:val="22"/>
        </w:rPr>
      </w:pPr>
      <w:r w:rsidRPr="005374C7">
        <w:rPr>
          <w:szCs w:val="22"/>
        </w:rPr>
        <w:t xml:space="preserve">Spuštění webu (vč. integrace zbývajících služeb): </w:t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  <w:t xml:space="preserve">do 8. 9. 2025 </w:t>
      </w:r>
    </w:p>
    <w:p w14:paraId="120BA635" w14:textId="0E2E4C27" w:rsidR="005374C7" w:rsidRPr="005374C7" w:rsidRDefault="005374C7" w:rsidP="005374C7">
      <w:pPr>
        <w:pStyle w:val="Odstavecseseznamem"/>
        <w:numPr>
          <w:ilvl w:val="0"/>
          <w:numId w:val="36"/>
        </w:numPr>
        <w:spacing w:after="120"/>
        <w:ind w:left="426"/>
      </w:pPr>
      <w:r w:rsidRPr="005374C7">
        <w:rPr>
          <w:szCs w:val="22"/>
        </w:rPr>
        <w:t xml:space="preserve">Zaškolení personálu Objednatele: </w:t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</w:r>
      <w:r w:rsidRPr="005374C7">
        <w:rPr>
          <w:szCs w:val="22"/>
        </w:rPr>
        <w:tab/>
        <w:t>do 30. 9. 2025</w:t>
      </w:r>
    </w:p>
    <w:p w14:paraId="3335F400" w14:textId="77777777" w:rsidR="005374C7" w:rsidRDefault="005374C7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0FE4C7F6" w14:textId="08CA1358" w:rsidR="00DF0A49" w:rsidRPr="008B3127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Článek </w:t>
      </w:r>
      <w:r w:rsidRPr="008B3127">
        <w:rPr>
          <w:rFonts w:eastAsia="Arial Unicode MS" w:cstheme="minorHAnsi"/>
          <w:b/>
          <w:color w:val="000000"/>
          <w:kern w:val="1"/>
        </w:rPr>
        <w:t>I</w:t>
      </w:r>
      <w:r w:rsidR="005374C7">
        <w:rPr>
          <w:rFonts w:eastAsia="Arial Unicode MS" w:cstheme="minorHAnsi"/>
          <w:b/>
          <w:color w:val="000000"/>
          <w:kern w:val="1"/>
        </w:rPr>
        <w:t>V</w:t>
      </w:r>
      <w:r w:rsidRPr="008B3127">
        <w:rPr>
          <w:rFonts w:eastAsia="Arial Unicode MS" w:cstheme="minorHAnsi"/>
          <w:b/>
          <w:color w:val="000000"/>
          <w:kern w:val="1"/>
        </w:rPr>
        <w:t xml:space="preserve">. </w:t>
      </w:r>
    </w:p>
    <w:p w14:paraId="4C0CEF95" w14:textId="77777777" w:rsidR="00DF0A49" w:rsidRPr="008B3127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</w:rPr>
      </w:pPr>
      <w:r w:rsidRPr="008B3127">
        <w:rPr>
          <w:rFonts w:eastAsia="Arial Unicode MS" w:cstheme="minorHAnsi"/>
          <w:b/>
          <w:color w:val="000000"/>
          <w:kern w:val="1"/>
        </w:rPr>
        <w:t>Cena a platební podmínky</w:t>
      </w:r>
    </w:p>
    <w:p w14:paraId="43253D0F" w14:textId="77777777" w:rsidR="00DF0A49" w:rsidRPr="00372815" w:rsidRDefault="00DF0A49" w:rsidP="00DF0A49">
      <w:pPr>
        <w:widowControl w:val="0"/>
        <w:suppressAutoHyphens/>
        <w:spacing w:after="0"/>
        <w:jc w:val="center"/>
        <w:rPr>
          <w:rFonts w:eastAsia="Arial Unicode MS" w:cstheme="minorHAnsi"/>
          <w:b/>
          <w:kern w:val="1"/>
        </w:rPr>
      </w:pPr>
    </w:p>
    <w:p w14:paraId="2ADE6B43" w14:textId="22A43F9E" w:rsidR="00DA2F7F" w:rsidRDefault="00DA2F7F" w:rsidP="004D5791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szCs w:val="22"/>
        </w:rPr>
      </w:pPr>
      <w:r w:rsidRPr="00372815">
        <w:rPr>
          <w:rFonts w:cstheme="minorHAnsi"/>
          <w:szCs w:val="22"/>
        </w:rPr>
        <w:t>Objednatel</w:t>
      </w:r>
      <w:r w:rsidR="00C153ED" w:rsidRPr="00372815">
        <w:rPr>
          <w:rFonts w:cstheme="minorHAnsi"/>
          <w:szCs w:val="22"/>
        </w:rPr>
        <w:t xml:space="preserve"> se zavazuje zaplatit </w:t>
      </w:r>
      <w:r w:rsidRPr="00372815">
        <w:rPr>
          <w:rFonts w:cstheme="minorHAnsi"/>
          <w:szCs w:val="22"/>
        </w:rPr>
        <w:t>zhotoviteli</w:t>
      </w:r>
      <w:r w:rsidR="00C153ED" w:rsidRPr="00372815">
        <w:rPr>
          <w:rFonts w:cstheme="minorHAnsi"/>
          <w:szCs w:val="22"/>
        </w:rPr>
        <w:t xml:space="preserve"> </w:t>
      </w:r>
      <w:r w:rsidR="009A0255" w:rsidRPr="00372815">
        <w:rPr>
          <w:rFonts w:cstheme="minorHAnsi"/>
          <w:szCs w:val="22"/>
        </w:rPr>
        <w:t xml:space="preserve">za </w:t>
      </w:r>
      <w:r w:rsidR="00837A38">
        <w:rPr>
          <w:rFonts w:cstheme="minorHAnsi"/>
          <w:szCs w:val="22"/>
        </w:rPr>
        <w:t>vytvoření</w:t>
      </w:r>
      <w:r w:rsidR="009A0255" w:rsidRPr="00372815">
        <w:rPr>
          <w:rFonts w:cstheme="minorHAnsi"/>
          <w:szCs w:val="22"/>
        </w:rPr>
        <w:t xml:space="preserve"> díla celkovou částku</w:t>
      </w:r>
      <w:r w:rsidR="00372815" w:rsidRPr="00372815">
        <w:rPr>
          <w:rFonts w:cstheme="minorHAnsi"/>
          <w:szCs w:val="22"/>
        </w:rPr>
        <w:t xml:space="preserve"> </w:t>
      </w:r>
      <w:r w:rsidR="00837A38">
        <w:rPr>
          <w:rFonts w:cstheme="minorHAnsi"/>
          <w:b/>
          <w:bCs/>
          <w:szCs w:val="22"/>
        </w:rPr>
        <w:t>490 000</w:t>
      </w:r>
      <w:r w:rsidR="003634C7">
        <w:rPr>
          <w:rFonts w:cstheme="minorHAnsi"/>
          <w:b/>
          <w:bCs/>
          <w:szCs w:val="22"/>
        </w:rPr>
        <w:t xml:space="preserve">,- </w:t>
      </w:r>
      <w:r w:rsidR="00372815" w:rsidRPr="00372815">
        <w:rPr>
          <w:rFonts w:cstheme="minorHAnsi"/>
          <w:b/>
          <w:bCs/>
          <w:szCs w:val="22"/>
        </w:rPr>
        <w:t>Kč</w:t>
      </w:r>
      <w:r w:rsidR="00372815" w:rsidRPr="00372815">
        <w:rPr>
          <w:rFonts w:cstheme="minorHAnsi"/>
          <w:szCs w:val="22"/>
        </w:rPr>
        <w:t xml:space="preserve"> (slovy: </w:t>
      </w:r>
      <w:r w:rsidR="00837A38">
        <w:rPr>
          <w:rFonts w:cstheme="minorHAnsi"/>
          <w:szCs w:val="22"/>
        </w:rPr>
        <w:t>čtyři sta devadesát</w:t>
      </w:r>
      <w:r w:rsidR="002F689D">
        <w:rPr>
          <w:rFonts w:cstheme="minorHAnsi"/>
          <w:szCs w:val="22"/>
        </w:rPr>
        <w:t xml:space="preserve"> tisíc </w:t>
      </w:r>
      <w:r w:rsidR="00372815" w:rsidRPr="00372815">
        <w:rPr>
          <w:rFonts w:cstheme="minorHAnsi"/>
          <w:szCs w:val="22"/>
        </w:rPr>
        <w:t>korun</w:t>
      </w:r>
      <w:r w:rsidR="00837A38">
        <w:rPr>
          <w:rFonts w:cstheme="minorHAnsi"/>
          <w:szCs w:val="22"/>
        </w:rPr>
        <w:t xml:space="preserve"> českých</w:t>
      </w:r>
      <w:r w:rsidR="00372815" w:rsidRPr="00372815">
        <w:rPr>
          <w:rFonts w:cstheme="minorHAnsi"/>
          <w:szCs w:val="22"/>
        </w:rPr>
        <w:t>)</w:t>
      </w:r>
      <w:r w:rsidR="00837A38">
        <w:rPr>
          <w:rFonts w:cstheme="minorHAnsi"/>
          <w:szCs w:val="22"/>
        </w:rPr>
        <w:t>. Zhotovitel není plátce DPH.</w:t>
      </w:r>
    </w:p>
    <w:p w14:paraId="35E7ACA1" w14:textId="37BF1FC9" w:rsidR="003A0EA2" w:rsidRPr="00E21AD9" w:rsidRDefault="003A0EA2" w:rsidP="004D5791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szCs w:val="22"/>
        </w:rPr>
      </w:pPr>
      <w:r w:rsidRPr="00E21AD9">
        <w:rPr>
          <w:rFonts w:cstheme="minorHAnsi"/>
          <w:szCs w:val="22"/>
        </w:rPr>
        <w:t>Platba bude rozdělena do platebních milníků</w:t>
      </w:r>
      <w:r w:rsidR="005374C7" w:rsidRPr="00E21AD9">
        <w:rPr>
          <w:rFonts w:cstheme="minorHAnsi"/>
          <w:szCs w:val="22"/>
        </w:rPr>
        <w:t xml:space="preserve"> v návaznosti na čl. III Smlouvy:</w:t>
      </w:r>
    </w:p>
    <w:p w14:paraId="443E99AB" w14:textId="185B949C" w:rsidR="005374C7" w:rsidRPr="00E21AD9" w:rsidRDefault="005374C7" w:rsidP="003A0EA2">
      <w:pPr>
        <w:pStyle w:val="Odstavecseseznamem"/>
        <w:numPr>
          <w:ilvl w:val="1"/>
          <w:numId w:val="18"/>
        </w:numPr>
        <w:autoSpaceDE w:val="0"/>
        <w:spacing w:after="120"/>
        <w:rPr>
          <w:rFonts w:cstheme="minorHAnsi"/>
          <w:szCs w:val="22"/>
        </w:rPr>
      </w:pPr>
      <w:r w:rsidRPr="00E21AD9">
        <w:rPr>
          <w:rFonts w:cstheme="minorHAnsi"/>
          <w:szCs w:val="22"/>
        </w:rPr>
        <w:t>100 000 Kč po dokončení prací dle čl. III, odst. 1, písm. a)</w:t>
      </w:r>
    </w:p>
    <w:p w14:paraId="4AE8A54E" w14:textId="0F1647E1" w:rsidR="003A0EA2" w:rsidRPr="00E21AD9" w:rsidRDefault="003A0EA2" w:rsidP="003A0EA2">
      <w:pPr>
        <w:pStyle w:val="Odstavecseseznamem"/>
        <w:numPr>
          <w:ilvl w:val="1"/>
          <w:numId w:val="18"/>
        </w:numPr>
        <w:autoSpaceDE w:val="0"/>
        <w:spacing w:after="120"/>
        <w:rPr>
          <w:rFonts w:cstheme="minorHAnsi"/>
          <w:szCs w:val="22"/>
        </w:rPr>
      </w:pPr>
      <w:r w:rsidRPr="00E21AD9">
        <w:rPr>
          <w:rFonts w:cstheme="minorHAnsi"/>
          <w:szCs w:val="22"/>
        </w:rPr>
        <w:t xml:space="preserve">150 000 Kč </w:t>
      </w:r>
      <w:r w:rsidR="005374C7" w:rsidRPr="00E21AD9">
        <w:rPr>
          <w:rFonts w:cstheme="minorHAnsi"/>
          <w:szCs w:val="22"/>
        </w:rPr>
        <w:t>po dokončení prací dle čl. III, odst. 1, písm. b)</w:t>
      </w:r>
    </w:p>
    <w:p w14:paraId="3A9CADDF" w14:textId="3E880B61" w:rsidR="003A0EA2" w:rsidRPr="00E21AD9" w:rsidRDefault="003A0EA2" w:rsidP="003A0EA2">
      <w:pPr>
        <w:pStyle w:val="Odstavecseseznamem"/>
        <w:numPr>
          <w:ilvl w:val="1"/>
          <w:numId w:val="18"/>
        </w:numPr>
        <w:autoSpaceDE w:val="0"/>
        <w:spacing w:after="120"/>
        <w:rPr>
          <w:rFonts w:cstheme="minorHAnsi"/>
          <w:szCs w:val="22"/>
        </w:rPr>
      </w:pPr>
      <w:r w:rsidRPr="00E21AD9">
        <w:rPr>
          <w:rFonts w:cstheme="minorHAnsi"/>
          <w:szCs w:val="22"/>
        </w:rPr>
        <w:t>1</w:t>
      </w:r>
      <w:r w:rsidR="00E21AD9" w:rsidRPr="00E21AD9">
        <w:rPr>
          <w:rFonts w:cstheme="minorHAnsi"/>
          <w:szCs w:val="22"/>
        </w:rPr>
        <w:t>0</w:t>
      </w:r>
      <w:r w:rsidRPr="00E21AD9">
        <w:rPr>
          <w:rFonts w:cstheme="minorHAnsi"/>
          <w:szCs w:val="22"/>
        </w:rPr>
        <w:t xml:space="preserve">0 000 Kč </w:t>
      </w:r>
      <w:r w:rsidR="00E21AD9" w:rsidRPr="00E21AD9">
        <w:rPr>
          <w:rFonts w:cstheme="minorHAnsi"/>
          <w:szCs w:val="22"/>
        </w:rPr>
        <w:t>po dokončení prací dle čl. III, odst. 1, písm. c)</w:t>
      </w:r>
    </w:p>
    <w:p w14:paraId="18C32973" w14:textId="4D6B952A" w:rsidR="003A0EA2" w:rsidRPr="00E21AD9" w:rsidRDefault="003A0EA2" w:rsidP="003A0EA2">
      <w:pPr>
        <w:pStyle w:val="Odstavecseseznamem"/>
        <w:numPr>
          <w:ilvl w:val="1"/>
          <w:numId w:val="18"/>
        </w:numPr>
        <w:autoSpaceDE w:val="0"/>
        <w:spacing w:after="120"/>
        <w:rPr>
          <w:rFonts w:cstheme="minorHAnsi"/>
          <w:szCs w:val="22"/>
        </w:rPr>
      </w:pPr>
      <w:r w:rsidRPr="00E21AD9">
        <w:rPr>
          <w:rFonts w:cstheme="minorHAnsi"/>
          <w:szCs w:val="22"/>
        </w:rPr>
        <w:t xml:space="preserve">100 000 Kč </w:t>
      </w:r>
      <w:r w:rsidR="00E21AD9" w:rsidRPr="00E21AD9">
        <w:rPr>
          <w:rFonts w:cstheme="minorHAnsi"/>
          <w:szCs w:val="22"/>
        </w:rPr>
        <w:t>po dokončení prací dle čl. III, odst. 1, písm. d)</w:t>
      </w:r>
    </w:p>
    <w:p w14:paraId="7F92167A" w14:textId="4225F0A1" w:rsidR="003A0EA2" w:rsidRPr="00E21AD9" w:rsidRDefault="00E21AD9" w:rsidP="003A0EA2">
      <w:pPr>
        <w:pStyle w:val="Odstavecseseznamem"/>
        <w:numPr>
          <w:ilvl w:val="1"/>
          <w:numId w:val="18"/>
        </w:numPr>
        <w:autoSpaceDE w:val="0"/>
        <w:spacing w:after="120"/>
        <w:rPr>
          <w:rFonts w:cstheme="minorHAnsi"/>
          <w:szCs w:val="22"/>
        </w:rPr>
      </w:pPr>
      <w:r w:rsidRPr="00E21AD9">
        <w:rPr>
          <w:rFonts w:cstheme="minorHAnsi"/>
          <w:szCs w:val="22"/>
        </w:rPr>
        <w:t>4</w:t>
      </w:r>
      <w:r w:rsidR="003A0EA2" w:rsidRPr="00E21AD9">
        <w:rPr>
          <w:rFonts w:cstheme="minorHAnsi"/>
          <w:szCs w:val="22"/>
        </w:rPr>
        <w:t xml:space="preserve">0 000 Kč </w:t>
      </w:r>
      <w:r w:rsidRPr="00E21AD9">
        <w:rPr>
          <w:rFonts w:cstheme="minorHAnsi"/>
          <w:szCs w:val="22"/>
        </w:rPr>
        <w:t>po dokončení prací dle čl. III, odst. 1, písm. e)</w:t>
      </w:r>
    </w:p>
    <w:p w14:paraId="26A3A26D" w14:textId="52A9C515" w:rsidR="00372815" w:rsidRPr="00372815" w:rsidRDefault="00E21AD9" w:rsidP="004D5791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Vždy po dokončení příslušné části díla dle předchozího odstavce </w:t>
      </w:r>
      <w:r w:rsidR="00DA2F7F" w:rsidRPr="00372815">
        <w:rPr>
          <w:rFonts w:cstheme="minorHAnsi"/>
          <w:szCs w:val="22"/>
        </w:rPr>
        <w:t xml:space="preserve">provede zhotovitel </w:t>
      </w:r>
      <w:r>
        <w:rPr>
          <w:rFonts w:cstheme="minorHAnsi"/>
          <w:szCs w:val="22"/>
        </w:rPr>
        <w:t xml:space="preserve">vyúčtování </w:t>
      </w:r>
      <w:r w:rsidR="00DA2F7F" w:rsidRPr="00372815">
        <w:rPr>
          <w:rFonts w:cstheme="minorHAnsi"/>
          <w:szCs w:val="22"/>
        </w:rPr>
        <w:t>formou daňového dokladu – faktury, který musí splňovat všechny náležitosti dané zákonem a objednatel ho uhradí v řádném termínu splatnosti.</w:t>
      </w:r>
    </w:p>
    <w:p w14:paraId="121DE254" w14:textId="606F2B13" w:rsidR="00837A38" w:rsidRPr="00372815" w:rsidRDefault="00837A38" w:rsidP="004D5791">
      <w:pPr>
        <w:pStyle w:val="Odstavecseseznamem"/>
        <w:numPr>
          <w:ilvl w:val="0"/>
          <w:numId w:val="18"/>
        </w:numPr>
        <w:autoSpaceDE w:val="0"/>
        <w:spacing w:after="120"/>
        <w:ind w:left="426"/>
        <w:rPr>
          <w:rFonts w:cstheme="minorHAnsi"/>
          <w:szCs w:val="22"/>
        </w:rPr>
      </w:pPr>
      <w:r w:rsidRPr="00837A38">
        <w:rPr>
          <w:rFonts w:cstheme="minorHAnsi"/>
          <w:szCs w:val="22"/>
        </w:rPr>
        <w:t xml:space="preserve">Cena </w:t>
      </w:r>
      <w:r w:rsidR="00E21AD9">
        <w:rPr>
          <w:rFonts w:cstheme="minorHAnsi"/>
          <w:szCs w:val="22"/>
        </w:rPr>
        <w:t xml:space="preserve">dle odst. 1 tohoto článku </w:t>
      </w:r>
      <w:r w:rsidRPr="00837A38">
        <w:rPr>
          <w:rFonts w:cstheme="minorHAnsi"/>
          <w:szCs w:val="22"/>
        </w:rPr>
        <w:t>musí být konečná a zahrnovat všechny součásti dodávky, prác</w:t>
      </w:r>
      <w:r>
        <w:rPr>
          <w:rFonts w:cstheme="minorHAnsi"/>
          <w:szCs w:val="22"/>
        </w:rPr>
        <w:t>i (vč. příprav)</w:t>
      </w:r>
      <w:r w:rsidRPr="00837A38">
        <w:rPr>
          <w:rFonts w:cstheme="minorHAnsi"/>
          <w:szCs w:val="22"/>
        </w:rPr>
        <w:t>, náklad</w:t>
      </w:r>
      <w:r>
        <w:rPr>
          <w:rFonts w:cstheme="minorHAnsi"/>
          <w:szCs w:val="22"/>
        </w:rPr>
        <w:t>y</w:t>
      </w:r>
      <w:r w:rsidRPr="00837A38">
        <w:rPr>
          <w:rFonts w:cstheme="minorHAnsi"/>
          <w:szCs w:val="22"/>
        </w:rPr>
        <w:t xml:space="preserve"> na dopravu a </w:t>
      </w:r>
      <w:r>
        <w:rPr>
          <w:rFonts w:cstheme="minorHAnsi"/>
          <w:szCs w:val="22"/>
        </w:rPr>
        <w:t>další</w:t>
      </w:r>
      <w:r w:rsidRPr="00837A38">
        <w:rPr>
          <w:rFonts w:cstheme="minorHAnsi"/>
          <w:szCs w:val="22"/>
        </w:rPr>
        <w:t xml:space="preserve"> související náklady.</w:t>
      </w:r>
    </w:p>
    <w:p w14:paraId="3680D153" w14:textId="77777777" w:rsidR="004D5791" w:rsidRDefault="004D5791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</w:rPr>
      </w:pPr>
    </w:p>
    <w:p w14:paraId="4DBFA5E6" w14:textId="7A2B0C6E" w:rsidR="0044313E" w:rsidRPr="008B3127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>Článek V.</w:t>
      </w:r>
    </w:p>
    <w:p w14:paraId="4C4C4AB6" w14:textId="37DF0F9B" w:rsidR="0044313E" w:rsidRPr="008B3127" w:rsidRDefault="0044313E" w:rsidP="004D5791">
      <w:pPr>
        <w:widowControl w:val="0"/>
        <w:suppressAutoHyphens/>
        <w:autoSpaceDE w:val="0"/>
        <w:spacing w:after="120"/>
        <w:ind w:left="4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8B3127">
        <w:rPr>
          <w:rFonts w:eastAsia="Arial Unicode MS" w:cstheme="minorHAnsi"/>
          <w:b/>
          <w:bCs/>
          <w:color w:val="000000"/>
          <w:kern w:val="1"/>
        </w:rPr>
        <w:t xml:space="preserve">Závěrečná ustanovení </w:t>
      </w:r>
    </w:p>
    <w:p w14:paraId="0D59D273" w14:textId="19DBEC11" w:rsidR="00826704" w:rsidRPr="00C866E9" w:rsidRDefault="00826704" w:rsidP="004D5791">
      <w:pPr>
        <w:pStyle w:val="Odstavecseseznamem"/>
        <w:numPr>
          <w:ilvl w:val="0"/>
          <w:numId w:val="23"/>
        </w:numPr>
        <w:autoSpaceDE w:val="0"/>
        <w:spacing w:after="120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>Smlouva může být ukončena vzájemnou dohodou smluvních stran, nebo odstoupením od smlouvy v případě závažného porušení povinností stanovených touto smlouvou, nebo z důvodů stanovených zákonem.</w:t>
      </w:r>
    </w:p>
    <w:p w14:paraId="49EB398D" w14:textId="2287991A" w:rsidR="00826704" w:rsidRPr="00C866E9" w:rsidRDefault="00826704" w:rsidP="004D5791">
      <w:pPr>
        <w:pStyle w:val="Odstavecseseznamem"/>
        <w:numPr>
          <w:ilvl w:val="0"/>
          <w:numId w:val="23"/>
        </w:numPr>
        <w:autoSpaceDE w:val="0"/>
        <w:spacing w:after="120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 xml:space="preserve">Odstoupení od smlouvy nabývá účinnosti dnem doručení písemného oznámení o odstoupení druhé smluvní straně. </w:t>
      </w:r>
    </w:p>
    <w:p w14:paraId="600BC3C4" w14:textId="29BBA4F2" w:rsidR="00826704" w:rsidRPr="00C866E9" w:rsidRDefault="00826704" w:rsidP="004D5791">
      <w:pPr>
        <w:pStyle w:val="Odstavecseseznamem"/>
        <w:numPr>
          <w:ilvl w:val="0"/>
          <w:numId w:val="23"/>
        </w:numPr>
        <w:autoSpaceDE w:val="0"/>
        <w:spacing w:after="120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>Změny a doplňky této smlouvy mohou být prováděny pouze formou písemného dodatku ke smlouvě po souhlasu obou smluvních stran.</w:t>
      </w:r>
    </w:p>
    <w:p w14:paraId="3E622579" w14:textId="5CBF791E" w:rsidR="00826704" w:rsidRPr="00C866E9" w:rsidRDefault="00826704" w:rsidP="004D5791">
      <w:pPr>
        <w:pStyle w:val="Odstavecseseznamem"/>
        <w:numPr>
          <w:ilvl w:val="0"/>
          <w:numId w:val="23"/>
        </w:numPr>
        <w:autoSpaceDE w:val="0"/>
        <w:spacing w:after="120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>Smluvní strany se zavazují řešit případné spory vzájemnou dohodou.</w:t>
      </w:r>
    </w:p>
    <w:p w14:paraId="564462AE" w14:textId="372761FF" w:rsidR="00826704" w:rsidRPr="00C866E9" w:rsidRDefault="00826704" w:rsidP="004D5791">
      <w:pPr>
        <w:pStyle w:val="Odstavecseseznamem"/>
        <w:numPr>
          <w:ilvl w:val="0"/>
          <w:numId w:val="23"/>
        </w:numPr>
        <w:autoSpaceDE w:val="0"/>
        <w:spacing w:after="120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 xml:space="preserve">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188A913E" w14:textId="1CD38F2F" w:rsidR="00826704" w:rsidRPr="00C866E9" w:rsidRDefault="00826704" w:rsidP="004D5791">
      <w:pPr>
        <w:pStyle w:val="Odstavecseseznamem"/>
        <w:numPr>
          <w:ilvl w:val="0"/>
          <w:numId w:val="23"/>
        </w:numPr>
        <w:autoSpaceDE w:val="0"/>
        <w:spacing w:after="120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lastRenderedPageBreak/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objednatel.</w:t>
      </w:r>
    </w:p>
    <w:p w14:paraId="16F2BDCF" w14:textId="2EC12709" w:rsidR="00826704" w:rsidRPr="00C866E9" w:rsidRDefault="00826704" w:rsidP="004D5791">
      <w:pPr>
        <w:pStyle w:val="Odstavecseseznamem"/>
        <w:numPr>
          <w:ilvl w:val="0"/>
          <w:numId w:val="23"/>
        </w:numPr>
        <w:autoSpaceDE w:val="0"/>
        <w:spacing w:after="120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>Tato smlouva je vyhotovena ve dvou stejnopisech, z nichž každá strana obdrží po jednom vyhotovení.</w:t>
      </w:r>
    </w:p>
    <w:p w14:paraId="07986C3C" w14:textId="77777777" w:rsidR="004D5791" w:rsidRDefault="00826704" w:rsidP="004D5791">
      <w:pPr>
        <w:pStyle w:val="Odstavecseseznamem"/>
        <w:numPr>
          <w:ilvl w:val="0"/>
          <w:numId w:val="23"/>
        </w:numPr>
        <w:autoSpaceDE w:val="0"/>
        <w:spacing w:after="120"/>
        <w:jc w:val="both"/>
        <w:rPr>
          <w:rFonts w:cstheme="minorHAnsi"/>
          <w:color w:val="000000"/>
        </w:rPr>
      </w:pPr>
      <w:r w:rsidRPr="00C866E9">
        <w:rPr>
          <w:rFonts w:cstheme="minorHAnsi"/>
          <w:color w:val="000000"/>
        </w:rPr>
        <w:t>Smluvní strany prohlašují, že si text smlouvy přečetly, s jejím obsahem bezvýhradně souhlasí a na důkaz toho připojují své podpisy.</w:t>
      </w:r>
    </w:p>
    <w:p w14:paraId="5F57A1F7" w14:textId="77777777" w:rsidR="00A25E3F" w:rsidRDefault="00A25E3F" w:rsidP="00A25E3F">
      <w:pPr>
        <w:autoSpaceDE w:val="0"/>
        <w:spacing w:after="120"/>
        <w:rPr>
          <w:rFonts w:cstheme="minorHAnsi"/>
          <w:color w:val="000000"/>
        </w:rPr>
      </w:pPr>
    </w:p>
    <w:p w14:paraId="64DE001E" w14:textId="00153ADA" w:rsidR="00A25E3F" w:rsidRPr="001A2D5D" w:rsidRDefault="00A25E3F" w:rsidP="00A25E3F">
      <w:pPr>
        <w:autoSpaceDE w:val="0"/>
        <w:spacing w:after="12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1A2D5D">
        <w:rPr>
          <w:rFonts w:eastAsia="Arial Unicode MS" w:cstheme="minorHAnsi"/>
          <w:b/>
          <w:bCs/>
          <w:color w:val="000000"/>
          <w:kern w:val="1"/>
        </w:rPr>
        <w:t>Článek V</w:t>
      </w:r>
      <w:r w:rsidR="003A0EA2" w:rsidRPr="001A2D5D">
        <w:rPr>
          <w:rFonts w:eastAsia="Arial Unicode MS" w:cstheme="minorHAnsi"/>
          <w:b/>
          <w:bCs/>
          <w:color w:val="000000"/>
          <w:kern w:val="1"/>
        </w:rPr>
        <w:t>I</w:t>
      </w:r>
      <w:r w:rsidRPr="001A2D5D">
        <w:rPr>
          <w:rFonts w:eastAsia="Arial Unicode MS" w:cstheme="minorHAnsi"/>
          <w:b/>
          <w:bCs/>
          <w:color w:val="000000"/>
          <w:kern w:val="1"/>
        </w:rPr>
        <w:t>.</w:t>
      </w:r>
    </w:p>
    <w:p w14:paraId="582AFDC2" w14:textId="7DBC579F" w:rsidR="00A25E3F" w:rsidRPr="001A2D5D" w:rsidRDefault="00A25E3F" w:rsidP="00A25E3F">
      <w:pPr>
        <w:autoSpaceDE w:val="0"/>
        <w:spacing w:after="120"/>
        <w:jc w:val="center"/>
        <w:rPr>
          <w:rFonts w:eastAsia="Arial Unicode MS" w:cstheme="minorHAnsi"/>
          <w:b/>
          <w:bCs/>
          <w:color w:val="000000"/>
          <w:kern w:val="1"/>
        </w:rPr>
      </w:pPr>
      <w:r w:rsidRPr="001A2D5D">
        <w:rPr>
          <w:rFonts w:eastAsia="Arial Unicode MS" w:cstheme="minorHAnsi"/>
          <w:b/>
          <w:bCs/>
          <w:color w:val="000000"/>
          <w:kern w:val="1"/>
        </w:rPr>
        <w:t>Všeobecné obchodní podmínky</w:t>
      </w:r>
    </w:p>
    <w:p w14:paraId="605617CD" w14:textId="77777777" w:rsidR="00A25E3F" w:rsidRPr="001A2D5D" w:rsidRDefault="00A25E3F" w:rsidP="00A25E3F">
      <w:pPr>
        <w:autoSpaceDE w:val="0"/>
        <w:spacing w:after="120"/>
        <w:rPr>
          <w:rFonts w:cstheme="minorHAnsi"/>
          <w:color w:val="000000"/>
        </w:rPr>
      </w:pPr>
    </w:p>
    <w:p w14:paraId="6D77A80F" w14:textId="684B29D8" w:rsidR="00A25E3F" w:rsidRPr="001A2D5D" w:rsidRDefault="003A0EA2" w:rsidP="00545AF9">
      <w:pPr>
        <w:pStyle w:val="Odstavecseseznamem"/>
        <w:numPr>
          <w:ilvl w:val="0"/>
          <w:numId w:val="34"/>
        </w:numPr>
        <w:autoSpaceDE w:val="0"/>
        <w:spacing w:after="120"/>
        <w:rPr>
          <w:rFonts w:cstheme="minorHAnsi"/>
          <w:color w:val="000000"/>
        </w:rPr>
      </w:pPr>
      <w:r w:rsidRPr="001A2D5D">
        <w:rPr>
          <w:rFonts w:cstheme="minorHAnsi"/>
          <w:color w:val="000000"/>
        </w:rPr>
        <w:t xml:space="preserve">Otázky, které nebyly </w:t>
      </w:r>
      <w:proofErr w:type="spellStart"/>
      <w:r w:rsidRPr="001A2D5D">
        <w:rPr>
          <w:rFonts w:cstheme="minorHAnsi"/>
          <w:color w:val="000000"/>
        </w:rPr>
        <w:t>výslovně</w:t>
      </w:r>
      <w:proofErr w:type="spellEnd"/>
      <w:r w:rsidRPr="001A2D5D">
        <w:rPr>
          <w:rFonts w:cstheme="minorHAnsi"/>
          <w:color w:val="000000"/>
        </w:rPr>
        <w:t xml:space="preserve"> upravené se řídí podle obchodních podmínek (</w:t>
      </w:r>
      <w:proofErr w:type="spellStart"/>
      <w:r w:rsidRPr="001A2D5D">
        <w:rPr>
          <w:rFonts w:cstheme="minorHAnsi"/>
          <w:color w:val="000000"/>
        </w:rPr>
        <w:t>dostupných</w:t>
      </w:r>
      <w:proofErr w:type="spellEnd"/>
      <w:r w:rsidRPr="001A2D5D">
        <w:rPr>
          <w:rFonts w:cstheme="minorHAnsi"/>
          <w:color w:val="000000"/>
        </w:rPr>
        <w:t xml:space="preserve"> na </w:t>
      </w:r>
      <w:hyperlink r:id="rId10" w:history="1">
        <w:r w:rsidRPr="001A2D5D">
          <w:rPr>
            <w:rStyle w:val="Hypertextovodkaz"/>
            <w:rFonts w:cstheme="minorHAnsi"/>
          </w:rPr>
          <w:t>www.simkovsky.cz/podminky.html</w:t>
        </w:r>
      </w:hyperlink>
      <w:r w:rsidRPr="001A2D5D">
        <w:rPr>
          <w:rFonts w:cstheme="minorHAnsi"/>
          <w:color w:val="000000"/>
        </w:rPr>
        <w:t xml:space="preserve">), se </w:t>
      </w:r>
      <w:proofErr w:type="spellStart"/>
      <w:r w:rsidRPr="001A2D5D">
        <w:rPr>
          <w:rFonts w:cstheme="minorHAnsi"/>
          <w:color w:val="000000"/>
        </w:rPr>
        <w:t>kterými</w:t>
      </w:r>
      <w:proofErr w:type="spellEnd"/>
      <w:r w:rsidRPr="001A2D5D">
        <w:rPr>
          <w:rFonts w:cstheme="minorHAnsi"/>
          <w:color w:val="000000"/>
        </w:rPr>
        <w:t xml:space="preserve"> obě strany </w:t>
      </w:r>
      <w:proofErr w:type="spellStart"/>
      <w:r w:rsidRPr="001A2D5D">
        <w:rPr>
          <w:rFonts w:cstheme="minorHAnsi"/>
          <w:color w:val="000000"/>
        </w:rPr>
        <w:t>výslovně</w:t>
      </w:r>
      <w:proofErr w:type="spellEnd"/>
      <w:r w:rsidRPr="001A2D5D">
        <w:rPr>
          <w:rFonts w:cstheme="minorHAnsi"/>
          <w:color w:val="000000"/>
        </w:rPr>
        <w:t xml:space="preserve"> souhlasí a jsou s nimi seznámené.</w:t>
      </w:r>
    </w:p>
    <w:p w14:paraId="6CE1004B" w14:textId="77777777" w:rsidR="00545AF9" w:rsidRPr="001A2D5D" w:rsidRDefault="00545AF9" w:rsidP="00545AF9">
      <w:pPr>
        <w:pStyle w:val="Odstavecseseznamem"/>
        <w:numPr>
          <w:ilvl w:val="0"/>
          <w:numId w:val="34"/>
        </w:numPr>
        <w:autoSpaceDE w:val="0"/>
        <w:spacing w:after="120"/>
        <w:jc w:val="both"/>
        <w:rPr>
          <w:rFonts w:cstheme="minorHAnsi"/>
          <w:color w:val="000000"/>
        </w:rPr>
      </w:pPr>
      <w:r w:rsidRPr="001A2D5D">
        <w:rPr>
          <w:rFonts w:cstheme="minorHAnsi"/>
          <w:color w:val="000000"/>
        </w:rPr>
        <w:t>Práva a povinnosti, výslovně touto smlouvou neupravené, se řídí platnými právními předpisy a ustanoveními občanského zákoníku.</w:t>
      </w:r>
    </w:p>
    <w:p w14:paraId="436AA24B" w14:textId="77777777" w:rsidR="00545AF9" w:rsidRDefault="00545AF9" w:rsidP="003A0EA2">
      <w:pPr>
        <w:autoSpaceDE w:val="0"/>
        <w:spacing w:after="120"/>
        <w:rPr>
          <w:rFonts w:cstheme="minorHAnsi"/>
          <w:color w:val="000000"/>
        </w:rPr>
      </w:pPr>
    </w:p>
    <w:p w14:paraId="5E50D8BD" w14:textId="77777777" w:rsidR="004D5791" w:rsidRDefault="004D5791" w:rsidP="003A0EA2">
      <w:pPr>
        <w:autoSpaceDE w:val="0"/>
        <w:spacing w:after="120"/>
        <w:rPr>
          <w:rFonts w:cstheme="minorHAnsi"/>
          <w:color w:val="000000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DA2F7F" w:rsidRPr="008B3127" w14:paraId="4B1D0DD1" w14:textId="77777777" w:rsidTr="009741F4">
        <w:trPr>
          <w:trHeight w:val="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8D7E009" w14:textId="14204AD4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V Brně dne</w:t>
            </w:r>
            <w:r w:rsidR="00171D8D">
              <w:rPr>
                <w:rFonts w:eastAsia="Arial Unicode MS" w:cstheme="minorHAnsi"/>
                <w:color w:val="000000"/>
                <w:kern w:val="1"/>
              </w:rPr>
              <w:t xml:space="preserve"> 26. 5. 2025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</w:tcPr>
          <w:p w14:paraId="7CBA8B03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B73F8D0" w14:textId="3A7AE062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8B3127" w14:paraId="4F9EC409" w14:textId="77777777" w:rsidTr="008D0388">
        <w:trPr>
          <w:trHeight w:val="1189"/>
        </w:trPr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19AAF0" w14:textId="77777777" w:rsidR="00DA2F7F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7AB52507" w14:textId="77777777" w:rsidR="00321707" w:rsidRDefault="00321707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313880EF" w14:textId="77777777" w:rsidR="00321707" w:rsidRDefault="00321707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0D745565" w14:textId="77777777" w:rsidR="00321707" w:rsidRDefault="00321707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09C4A63D" w14:textId="77777777" w:rsidR="004D5791" w:rsidRDefault="004D5791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75171243" w14:textId="77777777" w:rsidR="00321707" w:rsidRDefault="00321707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  <w:p w14:paraId="34A7E4FE" w14:textId="42FCBE23" w:rsidR="00321707" w:rsidRPr="008B3127" w:rsidRDefault="00321707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2808A47D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E9B1C6F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</w:rPr>
            </w:pPr>
          </w:p>
        </w:tc>
      </w:tr>
      <w:tr w:rsidR="00DA2F7F" w:rsidRPr="008B3127" w14:paraId="25C9C476" w14:textId="77777777" w:rsidTr="009741F4">
        <w:trPr>
          <w:trHeight w:val="266"/>
        </w:trPr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D374E6" w14:textId="07BD3594" w:rsidR="00DA2F7F" w:rsidRPr="008B3127" w:rsidRDefault="00D727B4" w:rsidP="00D727B4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highlight w:val="yellow"/>
              </w:rPr>
            </w:pPr>
            <w:r>
              <w:rPr>
                <w:rFonts w:eastAsia="Arial Unicode MS" w:cstheme="minorHAnsi"/>
                <w:color w:val="000000"/>
                <w:kern w:val="1"/>
              </w:rPr>
              <w:t xml:space="preserve">                    </w:t>
            </w:r>
            <w:r w:rsidRPr="00D727B4">
              <w:rPr>
                <w:rFonts w:eastAsia="Arial Unicode MS" w:cstheme="minorHAnsi"/>
                <w:color w:val="000000"/>
                <w:kern w:val="1"/>
              </w:rPr>
              <w:t>Marek Šimkovský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0338570D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7049BE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CED, p. o.</w:t>
            </w:r>
          </w:p>
        </w:tc>
      </w:tr>
      <w:tr w:rsidR="00DA2F7F" w:rsidRPr="008B3127" w14:paraId="11E1BECE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882A375" w14:textId="64E20838" w:rsidR="00DA2F7F" w:rsidRPr="008B3127" w:rsidRDefault="00D727B4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highlight w:val="yellow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(zhotovitel)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</w:tcPr>
          <w:p w14:paraId="56C58902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325F2D5" w14:textId="5A1543CC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MgA</w:t>
            </w:r>
            <w:r w:rsidR="009E0402">
              <w:rPr>
                <w:rFonts w:eastAsia="Arial Unicode MS" w:cstheme="minorHAnsi"/>
                <w:color w:val="000000"/>
                <w:kern w:val="1"/>
              </w:rPr>
              <w:t>. Jan Búrik</w:t>
            </w:r>
            <w:r w:rsidRPr="008B3127">
              <w:rPr>
                <w:rFonts w:eastAsia="Arial Unicode MS" w:cstheme="minorHAnsi"/>
                <w:color w:val="000000"/>
                <w:kern w:val="1"/>
              </w:rPr>
              <w:t>, ředitel</w:t>
            </w:r>
          </w:p>
        </w:tc>
      </w:tr>
      <w:tr w:rsidR="00DA2F7F" w:rsidRPr="008B3127" w14:paraId="300F305F" w14:textId="77777777" w:rsidTr="009741F4">
        <w:trPr>
          <w:trHeight w:val="26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61AE31" w14:textId="4E622C0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nil"/>
            </w:tcBorders>
          </w:tcPr>
          <w:p w14:paraId="6A6460F8" w14:textId="77777777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7E8FBC3" w14:textId="6108B241" w:rsidR="00DA2F7F" w:rsidRPr="008B3127" w:rsidRDefault="00DA2F7F" w:rsidP="009741F4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</w:rPr>
            </w:pPr>
            <w:r w:rsidRPr="008B3127">
              <w:rPr>
                <w:rFonts w:eastAsia="Arial Unicode MS" w:cstheme="minorHAnsi"/>
                <w:color w:val="000000"/>
                <w:kern w:val="1"/>
              </w:rPr>
              <w:t>(objednatel)</w:t>
            </w:r>
          </w:p>
        </w:tc>
      </w:tr>
    </w:tbl>
    <w:p w14:paraId="0A9EAC89" w14:textId="77777777" w:rsidR="00321707" w:rsidRDefault="00321707" w:rsidP="007112BB">
      <w:pPr>
        <w:widowControl w:val="0"/>
        <w:suppressAutoHyphens/>
        <w:autoSpaceDE w:val="0"/>
        <w:spacing w:after="0"/>
        <w:rPr>
          <w:rFonts w:cstheme="minorHAnsi"/>
          <w:b/>
          <w:bCs/>
        </w:rPr>
      </w:pPr>
    </w:p>
    <w:sectPr w:rsidR="00321707" w:rsidSect="00407787">
      <w:headerReference w:type="default" r:id="rId11"/>
      <w:footerReference w:type="default" r:id="rId12"/>
      <w:pgSz w:w="11906" w:h="16838"/>
      <w:pgMar w:top="1985" w:right="1134" w:bottom="1276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A7BE" w14:textId="77777777" w:rsidR="00F20BD3" w:rsidRDefault="00F20BD3" w:rsidP="00FB039B">
      <w:pPr>
        <w:spacing w:after="0"/>
      </w:pPr>
      <w:r>
        <w:separator/>
      </w:r>
    </w:p>
  </w:endnote>
  <w:endnote w:type="continuationSeparator" w:id="0">
    <w:p w14:paraId="7CE8BFF4" w14:textId="77777777" w:rsidR="00F20BD3" w:rsidRDefault="00F20BD3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E4A19D0" w14:textId="77777777" w:rsidR="008873BF" w:rsidRPr="0044313E" w:rsidRDefault="008873BF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; 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www.ced-brno.cz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E4A19D0" w14:textId="77777777" w:rsidR="008873BF" w:rsidRPr="0044313E" w:rsidRDefault="008873BF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Zelný trh 9, 602 00 Brno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; 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www.ced-brno.cz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C097F" w14:textId="77777777" w:rsidR="00F20BD3" w:rsidRDefault="00F20BD3" w:rsidP="00FB039B">
      <w:pPr>
        <w:spacing w:after="0"/>
      </w:pPr>
      <w:r>
        <w:separator/>
      </w:r>
    </w:p>
  </w:footnote>
  <w:footnote w:type="continuationSeparator" w:id="0">
    <w:p w14:paraId="7E2FB205" w14:textId="77777777" w:rsidR="00F20BD3" w:rsidRDefault="00F20BD3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209141677" name="Obrázek 1209141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1273463792" name="Obrázek 1273463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A67"/>
    <w:multiLevelType w:val="hybridMultilevel"/>
    <w:tmpl w:val="2FCCF53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08584793"/>
    <w:multiLevelType w:val="hybridMultilevel"/>
    <w:tmpl w:val="8BFA90A8"/>
    <w:lvl w:ilvl="0" w:tplc="0590CD4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C802A8"/>
    <w:multiLevelType w:val="multilevel"/>
    <w:tmpl w:val="223E155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967"/>
    <w:multiLevelType w:val="hybridMultilevel"/>
    <w:tmpl w:val="49D4D65C"/>
    <w:lvl w:ilvl="0" w:tplc="FFFFFFF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0E724B39"/>
    <w:multiLevelType w:val="hybridMultilevel"/>
    <w:tmpl w:val="3B44FF5A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B641F"/>
    <w:multiLevelType w:val="multilevel"/>
    <w:tmpl w:val="99560A7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049F0"/>
    <w:multiLevelType w:val="multilevel"/>
    <w:tmpl w:val="A4AE566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u w:val="none"/>
      </w:rPr>
    </w:lvl>
  </w:abstractNum>
  <w:abstractNum w:abstractNumId="13" w15:restartNumberingAfterBreak="0">
    <w:nsid w:val="2D455937"/>
    <w:multiLevelType w:val="hybridMultilevel"/>
    <w:tmpl w:val="C41AB0A8"/>
    <w:lvl w:ilvl="0" w:tplc="BBE0096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175AB"/>
    <w:multiLevelType w:val="hybridMultilevel"/>
    <w:tmpl w:val="F5E4E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90CFB"/>
    <w:multiLevelType w:val="hybridMultilevel"/>
    <w:tmpl w:val="7A6E2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C785A"/>
    <w:multiLevelType w:val="hybridMultilevel"/>
    <w:tmpl w:val="C2E2F24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41D84B1A"/>
    <w:multiLevelType w:val="multilevel"/>
    <w:tmpl w:val="BAA873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36BF2"/>
    <w:multiLevelType w:val="hybridMultilevel"/>
    <w:tmpl w:val="EB2ED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21EFC"/>
    <w:multiLevelType w:val="multilevel"/>
    <w:tmpl w:val="9DC61B4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E1A5D4B"/>
    <w:multiLevelType w:val="hybridMultilevel"/>
    <w:tmpl w:val="1624B486"/>
    <w:lvl w:ilvl="0" w:tplc="A426C416"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F2A2B8D"/>
    <w:multiLevelType w:val="hybridMultilevel"/>
    <w:tmpl w:val="F29ABF3C"/>
    <w:lvl w:ilvl="0" w:tplc="CAB04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67306"/>
    <w:multiLevelType w:val="hybridMultilevel"/>
    <w:tmpl w:val="BBD6B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23A39"/>
    <w:multiLevelType w:val="hybridMultilevel"/>
    <w:tmpl w:val="95ECE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D5CE1"/>
    <w:multiLevelType w:val="hybridMultilevel"/>
    <w:tmpl w:val="FF2CDF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BD916D6"/>
    <w:multiLevelType w:val="hybridMultilevel"/>
    <w:tmpl w:val="5BBE1490"/>
    <w:lvl w:ilvl="0" w:tplc="228487C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4" w15:restartNumberingAfterBreak="0">
    <w:nsid w:val="7E165432"/>
    <w:multiLevelType w:val="multilevel"/>
    <w:tmpl w:val="B55059A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E6C37F4"/>
    <w:multiLevelType w:val="hybridMultilevel"/>
    <w:tmpl w:val="A12477CE"/>
    <w:lvl w:ilvl="0" w:tplc="0405000F">
      <w:start w:val="1"/>
      <w:numFmt w:val="decimal"/>
      <w:lvlText w:val="%1."/>
      <w:lvlJc w:val="left"/>
      <w:pPr>
        <w:ind w:left="760" w:hanging="360"/>
      </w:pPr>
    </w:lvl>
    <w:lvl w:ilvl="1" w:tplc="04050019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008556627">
    <w:abstractNumId w:val="22"/>
  </w:num>
  <w:num w:numId="2" w16cid:durableId="1527595711">
    <w:abstractNumId w:val="0"/>
  </w:num>
  <w:num w:numId="3" w16cid:durableId="663358080">
    <w:abstractNumId w:val="31"/>
  </w:num>
  <w:num w:numId="4" w16cid:durableId="1090808744">
    <w:abstractNumId w:val="8"/>
  </w:num>
  <w:num w:numId="5" w16cid:durableId="1913929925">
    <w:abstractNumId w:val="19"/>
  </w:num>
  <w:num w:numId="6" w16cid:durableId="2009943867">
    <w:abstractNumId w:val="11"/>
  </w:num>
  <w:num w:numId="7" w16cid:durableId="1582787850">
    <w:abstractNumId w:val="32"/>
  </w:num>
  <w:num w:numId="8" w16cid:durableId="2113626267">
    <w:abstractNumId w:val="10"/>
  </w:num>
  <w:num w:numId="9" w16cid:durableId="1140269267">
    <w:abstractNumId w:val="29"/>
  </w:num>
  <w:num w:numId="10" w16cid:durableId="180240286">
    <w:abstractNumId w:val="20"/>
  </w:num>
  <w:num w:numId="11" w16cid:durableId="34425173">
    <w:abstractNumId w:val="14"/>
  </w:num>
  <w:num w:numId="12" w16cid:durableId="446706095">
    <w:abstractNumId w:val="4"/>
  </w:num>
  <w:num w:numId="13" w16cid:durableId="934899352">
    <w:abstractNumId w:val="5"/>
  </w:num>
  <w:num w:numId="14" w16cid:durableId="803619470">
    <w:abstractNumId w:val="21"/>
  </w:num>
  <w:num w:numId="15" w16cid:durableId="961544636">
    <w:abstractNumId w:val="35"/>
  </w:num>
  <w:num w:numId="16" w16cid:durableId="1919901043">
    <w:abstractNumId w:val="7"/>
  </w:num>
  <w:num w:numId="17" w16cid:durableId="1734886402">
    <w:abstractNumId w:val="17"/>
  </w:num>
  <w:num w:numId="18" w16cid:durableId="519783083">
    <w:abstractNumId w:val="27"/>
  </w:num>
  <w:num w:numId="19" w16cid:durableId="110637754">
    <w:abstractNumId w:val="28"/>
  </w:num>
  <w:num w:numId="20" w16cid:durableId="658576938">
    <w:abstractNumId w:val="16"/>
  </w:num>
  <w:num w:numId="21" w16cid:durableId="203173316">
    <w:abstractNumId w:val="26"/>
  </w:num>
  <w:num w:numId="22" w16cid:durableId="1301615896">
    <w:abstractNumId w:val="13"/>
  </w:num>
  <w:num w:numId="23" w16cid:durableId="1195847042">
    <w:abstractNumId w:val="33"/>
  </w:num>
  <w:num w:numId="24" w16cid:durableId="725372717">
    <w:abstractNumId w:val="2"/>
  </w:num>
  <w:num w:numId="25" w16cid:durableId="1676221436">
    <w:abstractNumId w:val="23"/>
  </w:num>
  <w:num w:numId="26" w16cid:durableId="476996233">
    <w:abstractNumId w:val="30"/>
  </w:num>
  <w:num w:numId="27" w16cid:durableId="931009545">
    <w:abstractNumId w:val="25"/>
  </w:num>
  <w:num w:numId="28" w16cid:durableId="1643344058">
    <w:abstractNumId w:val="12"/>
  </w:num>
  <w:num w:numId="29" w16cid:durableId="1151869053">
    <w:abstractNumId w:val="3"/>
  </w:num>
  <w:num w:numId="30" w16cid:durableId="1228959108">
    <w:abstractNumId w:val="24"/>
  </w:num>
  <w:num w:numId="31" w16cid:durableId="9456693">
    <w:abstractNumId w:val="34"/>
  </w:num>
  <w:num w:numId="32" w16cid:durableId="911543058">
    <w:abstractNumId w:val="18"/>
  </w:num>
  <w:num w:numId="33" w16cid:durableId="1618634835">
    <w:abstractNumId w:val="1"/>
  </w:num>
  <w:num w:numId="34" w16cid:durableId="162474999">
    <w:abstractNumId w:val="6"/>
  </w:num>
  <w:num w:numId="35" w16cid:durableId="1515924435">
    <w:abstractNumId w:val="15"/>
  </w:num>
  <w:num w:numId="36" w16cid:durableId="1265959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022C0"/>
    <w:rsid w:val="00040E97"/>
    <w:rsid w:val="00047E74"/>
    <w:rsid w:val="000B5FBC"/>
    <w:rsid w:val="000C27BC"/>
    <w:rsid w:val="000C6591"/>
    <w:rsid w:val="000D3042"/>
    <w:rsid w:val="000D495C"/>
    <w:rsid w:val="000F4892"/>
    <w:rsid w:val="001008B7"/>
    <w:rsid w:val="00105DEA"/>
    <w:rsid w:val="00111CE2"/>
    <w:rsid w:val="001239B5"/>
    <w:rsid w:val="001422DF"/>
    <w:rsid w:val="00162180"/>
    <w:rsid w:val="00171D8D"/>
    <w:rsid w:val="00172367"/>
    <w:rsid w:val="001724EF"/>
    <w:rsid w:val="00184441"/>
    <w:rsid w:val="00195D14"/>
    <w:rsid w:val="001A2D5D"/>
    <w:rsid w:val="001A55B3"/>
    <w:rsid w:val="001B2648"/>
    <w:rsid w:val="001B5B36"/>
    <w:rsid w:val="001C58E9"/>
    <w:rsid w:val="001D4800"/>
    <w:rsid w:val="001E6A52"/>
    <w:rsid w:val="00207033"/>
    <w:rsid w:val="002079BF"/>
    <w:rsid w:val="00237576"/>
    <w:rsid w:val="00274917"/>
    <w:rsid w:val="00277E96"/>
    <w:rsid w:val="002B1871"/>
    <w:rsid w:val="002C40CF"/>
    <w:rsid w:val="002E68FD"/>
    <w:rsid w:val="002F689D"/>
    <w:rsid w:val="00305D96"/>
    <w:rsid w:val="00321707"/>
    <w:rsid w:val="003255AA"/>
    <w:rsid w:val="003279A4"/>
    <w:rsid w:val="00337C93"/>
    <w:rsid w:val="003634C7"/>
    <w:rsid w:val="003662DF"/>
    <w:rsid w:val="00372815"/>
    <w:rsid w:val="00384237"/>
    <w:rsid w:val="003846C9"/>
    <w:rsid w:val="003A0EA2"/>
    <w:rsid w:val="003A7E52"/>
    <w:rsid w:val="003E6B87"/>
    <w:rsid w:val="003F2402"/>
    <w:rsid w:val="004000AF"/>
    <w:rsid w:val="00402E7F"/>
    <w:rsid w:val="00407787"/>
    <w:rsid w:val="0044313E"/>
    <w:rsid w:val="0046122C"/>
    <w:rsid w:val="004646E1"/>
    <w:rsid w:val="004649BD"/>
    <w:rsid w:val="0046607D"/>
    <w:rsid w:val="004900DF"/>
    <w:rsid w:val="004A00E6"/>
    <w:rsid w:val="004A4AB9"/>
    <w:rsid w:val="004A53DF"/>
    <w:rsid w:val="004B650B"/>
    <w:rsid w:val="004D5791"/>
    <w:rsid w:val="004D61DB"/>
    <w:rsid w:val="004D628E"/>
    <w:rsid w:val="004E1DF7"/>
    <w:rsid w:val="004E28A8"/>
    <w:rsid w:val="00507404"/>
    <w:rsid w:val="00535A2D"/>
    <w:rsid w:val="005374C7"/>
    <w:rsid w:val="005442C1"/>
    <w:rsid w:val="00545AF9"/>
    <w:rsid w:val="00550D84"/>
    <w:rsid w:val="00563C33"/>
    <w:rsid w:val="00567523"/>
    <w:rsid w:val="00567FEF"/>
    <w:rsid w:val="00571E5F"/>
    <w:rsid w:val="00574E99"/>
    <w:rsid w:val="005A0307"/>
    <w:rsid w:val="005A1801"/>
    <w:rsid w:val="005D09CB"/>
    <w:rsid w:val="005D4749"/>
    <w:rsid w:val="005E37F8"/>
    <w:rsid w:val="005E4DB8"/>
    <w:rsid w:val="005E4FEC"/>
    <w:rsid w:val="005F4328"/>
    <w:rsid w:val="005F67A5"/>
    <w:rsid w:val="006156CC"/>
    <w:rsid w:val="00620349"/>
    <w:rsid w:val="006253EB"/>
    <w:rsid w:val="00646959"/>
    <w:rsid w:val="00670F40"/>
    <w:rsid w:val="006A11DE"/>
    <w:rsid w:val="006A24F1"/>
    <w:rsid w:val="006B007F"/>
    <w:rsid w:val="006B6E21"/>
    <w:rsid w:val="006C0A2B"/>
    <w:rsid w:val="006E036E"/>
    <w:rsid w:val="007112BB"/>
    <w:rsid w:val="0072370A"/>
    <w:rsid w:val="00743406"/>
    <w:rsid w:val="007477AB"/>
    <w:rsid w:val="0075454D"/>
    <w:rsid w:val="0077138B"/>
    <w:rsid w:val="0077701A"/>
    <w:rsid w:val="007B41D4"/>
    <w:rsid w:val="007C5FC6"/>
    <w:rsid w:val="007C6CED"/>
    <w:rsid w:val="00826704"/>
    <w:rsid w:val="00832893"/>
    <w:rsid w:val="00837A38"/>
    <w:rsid w:val="00860D87"/>
    <w:rsid w:val="008751BC"/>
    <w:rsid w:val="008862CB"/>
    <w:rsid w:val="008873BF"/>
    <w:rsid w:val="00896F77"/>
    <w:rsid w:val="008A2B7C"/>
    <w:rsid w:val="008B3127"/>
    <w:rsid w:val="008D0388"/>
    <w:rsid w:val="008F7B82"/>
    <w:rsid w:val="00911F80"/>
    <w:rsid w:val="00936B8A"/>
    <w:rsid w:val="009632AC"/>
    <w:rsid w:val="009757A8"/>
    <w:rsid w:val="00981988"/>
    <w:rsid w:val="009A0255"/>
    <w:rsid w:val="009A04B6"/>
    <w:rsid w:val="009A0A0E"/>
    <w:rsid w:val="009A2339"/>
    <w:rsid w:val="009A49B5"/>
    <w:rsid w:val="009B7070"/>
    <w:rsid w:val="009C2F41"/>
    <w:rsid w:val="009D1E49"/>
    <w:rsid w:val="009D50DE"/>
    <w:rsid w:val="009E0402"/>
    <w:rsid w:val="009F309A"/>
    <w:rsid w:val="00A07A70"/>
    <w:rsid w:val="00A16C4C"/>
    <w:rsid w:val="00A25E3F"/>
    <w:rsid w:val="00A34EF3"/>
    <w:rsid w:val="00AA06B8"/>
    <w:rsid w:val="00AA2510"/>
    <w:rsid w:val="00AA3377"/>
    <w:rsid w:val="00AA669A"/>
    <w:rsid w:val="00AE76C7"/>
    <w:rsid w:val="00AF1249"/>
    <w:rsid w:val="00AF2F14"/>
    <w:rsid w:val="00B10ED0"/>
    <w:rsid w:val="00B110A7"/>
    <w:rsid w:val="00B36255"/>
    <w:rsid w:val="00B45A44"/>
    <w:rsid w:val="00B5476D"/>
    <w:rsid w:val="00B66C85"/>
    <w:rsid w:val="00B73739"/>
    <w:rsid w:val="00B75253"/>
    <w:rsid w:val="00B95CBB"/>
    <w:rsid w:val="00B963E2"/>
    <w:rsid w:val="00BA5FB5"/>
    <w:rsid w:val="00BB2703"/>
    <w:rsid w:val="00BD71AE"/>
    <w:rsid w:val="00C07C49"/>
    <w:rsid w:val="00C13027"/>
    <w:rsid w:val="00C153ED"/>
    <w:rsid w:val="00C265D6"/>
    <w:rsid w:val="00C40D05"/>
    <w:rsid w:val="00C54754"/>
    <w:rsid w:val="00C5599E"/>
    <w:rsid w:val="00C715FD"/>
    <w:rsid w:val="00C866E9"/>
    <w:rsid w:val="00C9042C"/>
    <w:rsid w:val="00C91651"/>
    <w:rsid w:val="00CE1BAD"/>
    <w:rsid w:val="00CF32DC"/>
    <w:rsid w:val="00D214B6"/>
    <w:rsid w:val="00D21865"/>
    <w:rsid w:val="00D303E4"/>
    <w:rsid w:val="00D4177A"/>
    <w:rsid w:val="00D54EAD"/>
    <w:rsid w:val="00D727B4"/>
    <w:rsid w:val="00D75A59"/>
    <w:rsid w:val="00D878A3"/>
    <w:rsid w:val="00D93B42"/>
    <w:rsid w:val="00DA028C"/>
    <w:rsid w:val="00DA2F7F"/>
    <w:rsid w:val="00DB3342"/>
    <w:rsid w:val="00DC5B70"/>
    <w:rsid w:val="00DF0A49"/>
    <w:rsid w:val="00DF7045"/>
    <w:rsid w:val="00E210A7"/>
    <w:rsid w:val="00E21AD9"/>
    <w:rsid w:val="00E22083"/>
    <w:rsid w:val="00E32530"/>
    <w:rsid w:val="00E50EED"/>
    <w:rsid w:val="00E71B7E"/>
    <w:rsid w:val="00E7312F"/>
    <w:rsid w:val="00E76BB0"/>
    <w:rsid w:val="00E840E0"/>
    <w:rsid w:val="00ED764F"/>
    <w:rsid w:val="00EE54DB"/>
    <w:rsid w:val="00EE6500"/>
    <w:rsid w:val="00F00CB8"/>
    <w:rsid w:val="00F03B35"/>
    <w:rsid w:val="00F20BD3"/>
    <w:rsid w:val="00F25D13"/>
    <w:rsid w:val="00F376A1"/>
    <w:rsid w:val="00F73F0F"/>
    <w:rsid w:val="00F766C3"/>
    <w:rsid w:val="00F91E6F"/>
    <w:rsid w:val="00FA0B22"/>
    <w:rsid w:val="00FA733E"/>
    <w:rsid w:val="00FB039B"/>
    <w:rsid w:val="00FD1DFC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5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DA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~"/>
    <w:rsid w:val="003255AA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5A0307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162180"/>
    <w:rPr>
      <w:color w:val="919191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5E3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divadlo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mkovsky.cz/podmink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ivacyshield.gov/lis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0815-2B76-4B5B-AF2E-7FACF3E2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3</TotalTime>
  <Pages>5</Pages>
  <Words>1372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2025-06-05T11:30:00Z</dcterms:created>
  <dcterms:modified xsi:type="dcterms:W3CDTF">2025-06-05T11:30:00Z</dcterms:modified>
</cp:coreProperties>
</file>