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44AAB" w:rsidP="0046335C">
      <w:pPr>
        <w:spacing w:after="0" w:line="240" w:lineRule="auto"/>
        <w:rPr>
          <w:rFonts w:cs="Arial"/>
          <w:b/>
        </w:rPr>
      </w:pPr>
      <w:r>
        <w:rPr>
          <w:noProof/>
          <w:lang w:eastAsia="cs-CZ"/>
        </w:rPr>
        <w:drawing>
          <wp:inline distT="0" distB="0" distL="0" distR="0">
            <wp:extent cx="5760720" cy="1089442"/>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1"/>
                    <a:stretch>
                      <a:fillRect/>
                    </a:stretch>
                  </pic:blipFill>
                  <pic:spPr>
                    <a:xfrm>
                      <a:off x="0" y="0"/>
                      <a:ext cx="5760720" cy="1089442"/>
                    </a:xfrm>
                    <a:prstGeom prst="rect">
                      <a:avLst/>
                    </a:prstGeom>
                  </pic:spPr>
                </pic:pic>
              </a:graphicData>
            </a:graphic>
          </wp:inline>
        </w:drawing>
      </w:r>
    </w:p>
    <w:p w:rsidR="0017299E" w:rsidRPr="00A42D75" w:rsidRDefault="0017299E" w:rsidP="0046335C">
      <w:pPr>
        <w:spacing w:after="0" w:line="240" w:lineRule="auto"/>
        <w:rPr>
          <w:rFonts w:cs="Arial"/>
          <w:b/>
        </w:rPr>
      </w:pPr>
    </w:p>
    <w:p w:rsidR="00643400" w:rsidRDefault="00BB6625">
      <w:pPr>
        <w:spacing w:after="0"/>
        <w:ind w:left="120"/>
        <w:jc w:val="right"/>
      </w:pPr>
      <w:r>
        <w:rPr>
          <w:b/>
          <w:color w:val="000000"/>
        </w:rPr>
        <w:t>Číslo spisu: S/03436/UL/25</w:t>
      </w:r>
    </w:p>
    <w:p w:rsidR="00643400" w:rsidRDefault="00BB6625">
      <w:pPr>
        <w:spacing w:after="0"/>
        <w:ind w:left="120"/>
        <w:jc w:val="right"/>
      </w:pPr>
      <w:r>
        <w:rPr>
          <w:b/>
          <w:color w:val="000000"/>
        </w:rPr>
        <w:t>Číslo jednací: 03436/UL/25</w:t>
      </w:r>
    </w:p>
    <w:p w:rsidR="00643400" w:rsidRDefault="00BB6625">
      <w:pPr>
        <w:spacing w:after="0"/>
        <w:ind w:left="120"/>
        <w:jc w:val="right"/>
      </w:pPr>
      <w:r>
        <w:rPr>
          <w:b/>
          <w:color w:val="000000"/>
        </w:rPr>
        <w:t>Číslo akce: 0047/53/25</w:t>
      </w:r>
    </w:p>
    <w:p w:rsidR="00643400" w:rsidRDefault="00BB6625">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44AAB" w:rsidP="004C6EC2">
      <w:pPr>
        <w:spacing w:before="40" w:after="0"/>
        <w:rPr>
          <w:rFonts w:cs="Arial"/>
        </w:rPr>
      </w:pPr>
      <w:r>
        <w:rPr>
          <w:rFonts w:cs="Arial"/>
          <w:b/>
        </w:rPr>
        <w:t>Regionální pracoviště SCHKO České středohoří</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Michalská 260/14, 412 01 Litoměřice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 xml:space="preserve">Ing. </w:t>
      </w:r>
      <w:r w:rsidR="00CA6020">
        <w:rPr>
          <w:rFonts w:cs="Arial"/>
        </w:rPr>
        <w:t>Vladislav Kopecký, vedoucí Oddělení péče o přírodu a krajinu</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sidR="00CA6020">
        <w:rPr>
          <w:rFonts w:cs="Arial"/>
        </w:rPr>
        <w:t>Mgr. Petra Korencov</w:t>
      </w:r>
      <w:r w:rsidR="00413D58">
        <w:rPr>
          <w:rFonts w:cs="Arial"/>
        </w:rPr>
        <w:t>á</w:t>
      </w:r>
      <w:r w:rsidR="0016196F">
        <w:rPr>
          <w:rFonts w:cs="Arial"/>
        </w:rPr>
        <w:t>.</w:t>
      </w:r>
    </w:p>
    <w:p w:rsidR="0016196F" w:rsidRDefault="0016196F" w:rsidP="004C6EC2">
      <w:pPr>
        <w:spacing w:before="40" w:after="0"/>
      </w:pPr>
      <w:r w:rsidRPr="009161EF">
        <w:t xml:space="preserve"> </w:t>
      </w:r>
      <w:r w:rsidR="00444AAB">
        <w:rPr>
          <w:rFonts w:cs="Arial"/>
        </w:rPr>
        <w:t>za projekt Prospective LIFE odpovídá:</w:t>
      </w:r>
      <w:r>
        <w:rPr>
          <w:rFonts w:cs="Arial"/>
        </w:rPr>
        <w:t xml:space="preserve"> </w:t>
      </w:r>
      <w:r w:rsidR="00444AAB">
        <w:rPr>
          <w:rFonts w:cs="Arial"/>
        </w:rPr>
        <w:t>Pavel Moravec</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5724A8" w:rsidRDefault="00444AAB" w:rsidP="00E85591">
      <w:pPr>
        <w:spacing w:before="40" w:after="0" w:line="240" w:lineRule="auto"/>
        <w:rPr>
          <w:rFonts w:cs="Arial"/>
        </w:rPr>
      </w:pPr>
      <w:r>
        <w:rPr>
          <w:rFonts w:cs="Arial"/>
          <w:b/>
        </w:rPr>
        <w:t>Český svaz ochránců přírody Severní Čechy</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03735435</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Legionářská 45, 55101  Jaroměř</w:t>
      </w:r>
      <w:r w:rsidR="00C7443F" w:rsidRPr="002420B8">
        <w:rPr>
          <w:rFonts w:cs="Arial"/>
        </w:rPr>
        <w:t xml:space="preserve">  </w:t>
      </w:r>
      <w:r w:rsidR="00C7443F" w:rsidRPr="002420B8">
        <w:rPr>
          <w:rFonts w:cs="Arial"/>
        </w:rPr>
        <w:br/>
      </w:r>
      <w:r w:rsidR="005724A8">
        <w:rPr>
          <w:rFonts w:cs="Arial"/>
        </w:rPr>
        <w:t xml:space="preserve">Zastoupená: </w:t>
      </w:r>
      <w:r w:rsidR="005724A8">
        <w:rPr>
          <w:rFonts w:cs="Arial"/>
        </w:rPr>
        <w:tab/>
      </w:r>
      <w:r w:rsidR="005724A8">
        <w:rPr>
          <w:rFonts w:cs="Arial"/>
        </w:rPr>
        <w:tab/>
        <w:t>Michal Jilma, DiS., předseda pobočného spolku</w:t>
      </w:r>
    </w:p>
    <w:p w:rsidR="00C7443F" w:rsidRDefault="00C7443F" w:rsidP="00E85591">
      <w:pPr>
        <w:spacing w:before="40" w:after="0" w:line="240" w:lineRule="auto"/>
      </w:pPr>
      <w:r w:rsidRPr="002420B8">
        <w:rPr>
          <w:rFonts w:cs="Arial"/>
        </w:rPr>
        <w:t>Bankovní spojení:</w:t>
      </w:r>
      <w:r w:rsidRPr="002420B8">
        <w:rPr>
          <w:rFonts w:cs="Arial"/>
        </w:rPr>
        <w:tab/>
      </w:r>
      <w:r w:rsidR="00444AAB">
        <w:rPr>
          <w:rFonts w:cs="Arial"/>
        </w:rPr>
        <w:t>2201740637/2010</w:t>
      </w:r>
      <w:r w:rsidRPr="002420B8">
        <w:rPr>
          <w:rFonts w:cs="Arial"/>
        </w:rPr>
        <w:t xml:space="preserve">  </w:t>
      </w:r>
      <w:r w:rsidRPr="002420B8">
        <w:rPr>
          <w:rFonts w:cs="Arial"/>
        </w:rPr>
        <w:br/>
      </w:r>
      <w:r w:rsidRPr="002420B8">
        <w:rPr>
          <w:rFonts w:eastAsia="Times New Roman" w:cs="Arial"/>
          <w:lang w:eastAsia="cs-CZ"/>
        </w:rPr>
        <w:t>V rozsahu této sm</w:t>
      </w:r>
      <w:r w:rsidR="00FE3E45">
        <w:rPr>
          <w:rFonts w:eastAsia="Times New Roman" w:cs="Arial"/>
          <w:lang w:eastAsia="cs-CZ"/>
        </w:rPr>
        <w:t>l</w:t>
      </w:r>
      <w:r w:rsidRPr="002420B8">
        <w:rPr>
          <w:rFonts w:eastAsia="Times New Roman" w:cs="Arial"/>
          <w:lang w:eastAsia="cs-CZ"/>
        </w:rPr>
        <w:t>ouvy osoba pověřená k jednání s</w:t>
      </w:r>
      <w:r w:rsidR="00FE3E45">
        <w:rPr>
          <w:rFonts w:eastAsia="Times New Roman" w:cs="Arial"/>
          <w:lang w:eastAsia="cs-CZ"/>
        </w:rPr>
        <w:t> </w:t>
      </w:r>
      <w:r w:rsidRPr="002420B8">
        <w:rPr>
          <w:rFonts w:eastAsia="Times New Roman" w:cs="Arial"/>
          <w:lang w:eastAsia="cs-CZ"/>
        </w:rPr>
        <w:t>objednatelem</w:t>
      </w:r>
      <w:r w:rsidR="00FE3E45">
        <w:rPr>
          <w:rFonts w:eastAsia="Times New Roman" w:cs="Arial"/>
          <w:lang w:eastAsia="cs-CZ"/>
        </w:rPr>
        <w:t xml:space="preserve"> a k věcným úkonům</w:t>
      </w:r>
      <w:r w:rsidRPr="002420B8">
        <w:rPr>
          <w:rFonts w:eastAsia="Times New Roman" w:cs="Arial"/>
          <w:lang w:eastAsia="cs-CZ"/>
        </w:rPr>
        <w:t xml:space="preserve">: </w:t>
      </w:r>
      <w:r w:rsidR="00FC21BA">
        <w:rPr>
          <w:rFonts w:cs="Arial"/>
        </w:rPr>
        <w:t>„xxxx“</w:t>
      </w:r>
      <w:r w:rsidRPr="002420B8">
        <w:rPr>
          <w:rFonts w:cs="Arial"/>
        </w:rPr>
        <w:t xml:space="preserve">, telefon: </w:t>
      </w:r>
      <w:r w:rsidR="00FC21BA">
        <w:rPr>
          <w:rFonts w:cs="Arial"/>
        </w:rPr>
        <w:t>„xxxx“</w:t>
      </w:r>
      <w:r w:rsidRPr="002420B8">
        <w:rPr>
          <w:rFonts w:cs="Arial"/>
        </w:rPr>
        <w:t xml:space="preserve">, email: </w:t>
      </w:r>
      <w:r w:rsidR="00FC21BA">
        <w:rPr>
          <w:rFonts w:cs="Arial"/>
        </w:rPr>
        <w:t>„xxxx“</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V rámci projektu Protect Species Actively by LIFE (LIFE22-IPN-CZ-PROSPECTIVE-LIFE/101104621), soubor aktivit WP4.</w:t>
      </w:r>
    </w:p>
    <w:p w:rsidR="00AD6D5F" w:rsidRDefault="00444AAB" w:rsidP="00CA6020">
      <w:pPr>
        <w:spacing w:before="120" w:after="0" w:line="240" w:lineRule="auto"/>
        <w:ind w:left="397"/>
        <w:jc w:val="both"/>
        <w:rPr>
          <w:b/>
        </w:rPr>
      </w:pPr>
      <w:r>
        <w:rPr>
          <w:b/>
        </w:rPr>
        <w:t>Realizace RAP pro okáče skalního - letní úprava stanovištních poměrů na lokalitách Církvice a Oblík.</w:t>
      </w:r>
    </w:p>
    <w:p w:rsidR="00E20731" w:rsidRPr="00036C0A" w:rsidRDefault="00444AAB" w:rsidP="00CA6020">
      <w:pPr>
        <w:spacing w:before="120" w:after="0" w:line="240" w:lineRule="auto"/>
        <w:ind w:left="397"/>
        <w:jc w:val="both"/>
        <w:rPr>
          <w:spacing w:val="-5"/>
        </w:rPr>
      </w:pPr>
      <w:r w:rsidRPr="00036C0A">
        <w:rPr>
          <w:spacing w:val="-5"/>
        </w:rPr>
        <w:t xml:space="preserve">Specifické opatření </w:t>
      </w:r>
      <w:r w:rsidR="00E268B0" w:rsidRPr="00036C0A">
        <w:rPr>
          <w:spacing w:val="-5"/>
        </w:rPr>
        <w:t>-</w:t>
      </w:r>
      <w:r w:rsidRPr="00036C0A">
        <w:rPr>
          <w:spacing w:val="-5"/>
        </w:rPr>
        <w:t xml:space="preserve"> úprava stanovištních podmínek na podporu druhu okáč skalní pomocí ručního kosení a důkladného vyhrabání pokosené hmoty, včetně stařiny</w:t>
      </w:r>
      <w:r w:rsidR="00C33A3A" w:rsidRPr="00036C0A">
        <w:rPr>
          <w:spacing w:val="-5"/>
        </w:rPr>
        <w:t>, aby</w:t>
      </w:r>
      <w:r w:rsidR="00413D58" w:rsidRPr="00036C0A">
        <w:rPr>
          <w:spacing w:val="-5"/>
        </w:rPr>
        <w:t xml:space="preserve"> došlo k obnažení plošek půdy </w:t>
      </w:r>
      <w:r w:rsidR="00E85591" w:rsidRPr="00036C0A">
        <w:rPr>
          <w:spacing w:val="-5"/>
        </w:rPr>
        <w:t xml:space="preserve">v kombinaci </w:t>
      </w:r>
      <w:r w:rsidR="00413D58" w:rsidRPr="00036C0A">
        <w:rPr>
          <w:spacing w:val="-5"/>
        </w:rPr>
        <w:t>se solitérními trsy kostřav a vytvořily se tak vhodné podmínky pro kladení</w:t>
      </w:r>
      <w:r w:rsidR="00C33A3A" w:rsidRPr="00036C0A">
        <w:rPr>
          <w:spacing w:val="-5"/>
        </w:rPr>
        <w:t>.</w:t>
      </w:r>
      <w:r w:rsidR="00413D58" w:rsidRPr="00036C0A">
        <w:rPr>
          <w:spacing w:val="-5"/>
        </w:rPr>
        <w:t xml:space="preserve"> </w:t>
      </w:r>
      <w:r w:rsidRPr="00036C0A">
        <w:rPr>
          <w:spacing w:val="-5"/>
        </w:rPr>
        <w:t>Veškerá shrabaná hmota bude využita v souladu s platnými právními předpisy.</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44AAB" w:rsidP="00A4562D">
      <w:pPr>
        <w:pStyle w:val="Odstavecseseznamem"/>
        <w:numPr>
          <w:ilvl w:val="0"/>
          <w:numId w:val="0"/>
        </w:numPr>
        <w:ind w:left="360"/>
      </w:pPr>
      <w:r>
        <w:t>Opatření bude provedeno v souladu se standardem č. D02 004 "Sečení".</w:t>
      </w:r>
    </w:p>
    <w:p w:rsidR="00BA4C51" w:rsidRPr="00C264BF" w:rsidRDefault="00BA4C51" w:rsidP="00D33759">
      <w:pPr>
        <w:pStyle w:val="Odstavecseseznamem"/>
      </w:pPr>
      <w:r w:rsidRPr="00C264BF">
        <w:t>Při provádění díla je zhotovitel vázán pokyny objednatele.</w:t>
      </w:r>
    </w:p>
    <w:p w:rsidR="00BA4C51" w:rsidRPr="00036C0A" w:rsidRDefault="00BA4C51" w:rsidP="00D33759">
      <w:pPr>
        <w:pStyle w:val="Odstavecseseznamem"/>
        <w:rPr>
          <w:spacing w:val="-2"/>
        </w:rPr>
      </w:pPr>
      <w:r w:rsidRPr="00036C0A">
        <w:rPr>
          <w:spacing w:val="-2"/>
        </w:rPr>
        <w:t>Objednatel je oprávněn v průběhu platnosti smlouvy je</w:t>
      </w:r>
      <w:r w:rsidR="00B45F6B" w:rsidRPr="00036C0A">
        <w:rPr>
          <w:spacing w:val="-2"/>
        </w:rPr>
        <w:t>dnostranně omezit rozsah díla v </w:t>
      </w:r>
      <w:r w:rsidRPr="00036C0A">
        <w:rPr>
          <w:spacing w:val="-2"/>
        </w:rPr>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CA6020" w:rsidP="008B2D0A">
      <w:pPr>
        <w:pStyle w:val="Odstavecseseznamem"/>
        <w:numPr>
          <w:ilvl w:val="0"/>
          <w:numId w:val="0"/>
        </w:numPr>
        <w:ind w:left="360"/>
      </w:pPr>
      <w:r>
        <w:t>Cena bez DPH: 19 804,- Kč</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19 804,00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036C0A" w:rsidRDefault="00245CCF" w:rsidP="00FF5FC6">
      <w:pPr>
        <w:pStyle w:val="Odstavecseseznamem"/>
        <w:rPr>
          <w:spacing w:val="-2"/>
        </w:rPr>
      </w:pPr>
      <w:r w:rsidRPr="00036C0A">
        <w:rPr>
          <w:spacing w:val="-2"/>
        </w:rPr>
        <w:t>Veškeré náklady vzniklé zhotoviteli v souvislosti s prováděním díla jsou zahrnuty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036C0A">
        <w:t>5</w:t>
      </w:r>
      <w:r w:rsidR="00FF5FC6" w:rsidRPr="00FF5FC6">
        <w:t xml:space="preserve">. </w:t>
      </w:r>
      <w:r w:rsidR="00036C0A">
        <w:t>8</w:t>
      </w:r>
      <w:r w:rsidR="00FF5FC6" w:rsidRPr="00FF5FC6">
        <w:t>.</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Michalská 260/14, 412 01 Litoměřice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projektu Prospective LIFE (LIFE22-IPN-CZ-PROSPECTIVE-LIFE/101104621)“</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w:t>
      </w:r>
      <w:r w:rsidRPr="00E25709">
        <w:lastRenderedPageBreak/>
        <w:t xml:space="preserve">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15.</w:t>
      </w:r>
      <w:r w:rsidR="00561063">
        <w:t xml:space="preserve"> </w:t>
      </w:r>
      <w:r>
        <w:t>07.</w:t>
      </w:r>
      <w:r w:rsidR="00561063">
        <w:t xml:space="preserve"> </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2C1306" w:rsidP="002C1306">
      <w:pPr>
        <w:pStyle w:val="Odstavecseseznamem"/>
      </w:pPr>
      <w:r>
        <w:t xml:space="preserve">Místem plnění jsou </w:t>
      </w:r>
      <w:r w:rsidRPr="002C1306">
        <w:t>parcely v k.</w:t>
      </w:r>
      <w:r>
        <w:t xml:space="preserve"> </w:t>
      </w:r>
      <w:r w:rsidRPr="002C1306">
        <w:t>ú. Církvice - p.</w:t>
      </w:r>
      <w:r>
        <w:t xml:space="preserve"> </w:t>
      </w:r>
      <w:r w:rsidRPr="002C1306">
        <w:t>č. 219/14; k.</w:t>
      </w:r>
      <w:r>
        <w:t xml:space="preserve"> </w:t>
      </w:r>
      <w:r w:rsidRPr="002C1306">
        <w:t>ú. Raná u Loun - p.</w:t>
      </w:r>
      <w:r>
        <w:t xml:space="preserve"> </w:t>
      </w:r>
      <w:r w:rsidRPr="002C1306">
        <w:t>č. 894/1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A61E54" w:rsidRPr="00982163" w:rsidRDefault="00A61E54" w:rsidP="00A61E54">
      <w:pPr>
        <w:pStyle w:val="Odstavecseseznamem"/>
        <w:numPr>
          <w:ilvl w:val="0"/>
          <w:numId w:val="16"/>
        </w:numPr>
        <w:spacing w:after="0"/>
        <w:outlineLvl w:val="9"/>
        <w:rPr>
          <w:color w:val="000000"/>
          <w:spacing w:val="-6"/>
        </w:rPr>
      </w:pPr>
      <w:r w:rsidRPr="00982163">
        <w:rPr>
          <w:spacing w:val="-6"/>
        </w:rPr>
        <w:t xml:space="preserve">Realizace díla zahrnuje mj. tyto činnosti: vjíždění a setrvání s motorovými vozidly mimo silnice a místní komunikace a místa vyhrazená se souhlasem orgánu ochrany přírody, vstupování mimo cesty vyznačené se souhlasem orgánu ochrany přírody v NPR Oblík, </w:t>
      </w:r>
      <w:r w:rsidRPr="00A61E54">
        <w:rPr>
          <w:spacing w:val="-6"/>
        </w:rPr>
        <w:t>zasahování do přirozeného vývoje zvláště chráněných druhů</w:t>
      </w:r>
      <w:r w:rsidRPr="00982163">
        <w:rPr>
          <w:spacing w:val="-6"/>
        </w:rPr>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w:t>
      </w:r>
      <w:r w:rsidRPr="00982163">
        <w:rPr>
          <w:rFonts w:eastAsia="Arial Unicode MS"/>
          <w:spacing w:val="-6"/>
        </w:rPr>
        <w:t>§ 90 odst. 19 písm. b) ve spojení s § 78 odst. 14</w:t>
      </w:r>
      <w:r w:rsidRPr="00982163">
        <w:rPr>
          <w:rStyle w:val="Znakapoznpodarou"/>
          <w:b/>
          <w:i/>
          <w:spacing w:val="-6"/>
        </w:rPr>
        <w:footnoteReference w:id="1"/>
      </w:r>
      <w:r w:rsidRPr="00982163">
        <w:rPr>
          <w:spacing w:val="-6"/>
        </w:rPr>
        <w:t xml:space="preserve">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982163">
        <w:rPr>
          <w:rFonts w:eastAsia="Arial Unicode MS"/>
          <w:spacing w:val="-6"/>
        </w:rPr>
        <w:t>.</w:t>
      </w:r>
    </w:p>
    <w:p w:rsidR="00A61E54" w:rsidRDefault="00A61E54" w:rsidP="00A61E54">
      <w:pPr>
        <w:pStyle w:val="Odstavecseseznamem"/>
        <w:numPr>
          <w:ilvl w:val="0"/>
          <w:numId w:val="16"/>
        </w:numPr>
        <w:spacing w:before="120"/>
        <w:ind w:left="357" w:hanging="357"/>
        <w:outlineLvl w:val="9"/>
      </w:pPr>
      <w:r>
        <w:rPr>
          <w:rFonts w:eastAsia="Arial Unicode MS"/>
        </w:rPr>
        <w:t>K</w:t>
      </w:r>
      <w:r w:rsidRPr="00E878D5">
        <w:rPr>
          <w:rFonts w:eastAsia="Arial Unicode MS"/>
        </w:rPr>
        <w:t xml:space="preserve"> </w:t>
      </w:r>
      <w:r>
        <w:t>zajištění ochrany zájmů chráněných v ZOPK objednatel stanovuje zhotoviteli tyto podmínky pro realizaci činností:</w:t>
      </w:r>
    </w:p>
    <w:p w:rsidR="00A61E54" w:rsidRDefault="00A61E54" w:rsidP="00A61E54">
      <w:pPr>
        <w:pStyle w:val="Nadpis2"/>
        <w:numPr>
          <w:ilvl w:val="0"/>
          <w:numId w:val="0"/>
        </w:numPr>
        <w:ind w:left="426"/>
        <w:rPr>
          <w:lang w:eastAsia="cs-CZ"/>
        </w:rPr>
      </w:pPr>
      <w:r>
        <w:rPr>
          <w:lang w:eastAsia="cs-CZ"/>
        </w:rPr>
        <w:t xml:space="preserve">- výjimky ze zákazů v ZCHÚ podle § 43 odst. 1 ZOPK. Zhotovitel bude vstupovat na území NPR Oblík </w:t>
      </w:r>
      <w:r>
        <w:t>mimo cesty vyznačené se souhlasem orgánu ochrany přírody</w:t>
      </w:r>
      <w:r>
        <w:rPr>
          <w:lang w:eastAsia="cs-CZ"/>
        </w:rPr>
        <w:t xml:space="preserve"> a vjíždět a setrvávat s motorovými vozidly a obytnými přívěsy </w:t>
      </w:r>
      <w:r w:rsidRPr="000623BB">
        <w:t>mimo silnice a místní komunikace a místa vyhrazená se souhlasem orgánu ochrany přírody</w:t>
      </w:r>
      <w:r>
        <w:rPr>
          <w:lang w:eastAsia="cs-CZ"/>
        </w:rPr>
        <w:t xml:space="preserve"> na území CHKO České středohoří pouze v nezbytně nutné míře v souvislosti s realizací díla.</w:t>
      </w:r>
    </w:p>
    <w:p w:rsidR="00A61E54" w:rsidRDefault="00A61E54" w:rsidP="00A61E54">
      <w:pPr>
        <w:pStyle w:val="Nadpis2"/>
        <w:numPr>
          <w:ilvl w:val="0"/>
          <w:numId w:val="0"/>
        </w:numPr>
        <w:ind w:left="426"/>
        <w:rPr>
          <w:lang w:eastAsia="cs-CZ"/>
        </w:rPr>
      </w:pPr>
      <w:r w:rsidRPr="00657CCA">
        <w:rPr>
          <w:lang w:eastAsia="cs-CZ"/>
        </w:rPr>
        <w:t xml:space="preserve"> </w:t>
      </w:r>
      <w:r>
        <w:rPr>
          <w:lang w:eastAsia="cs-CZ"/>
        </w:rPr>
        <w:t xml:space="preserve">- výjimka z ochranných podmínek ZCHD podle § 56 odst. 1 ZOPK. Zhotovitel bude při realizaci díla postupovat tak, aby byly minimalizovány zásahy do přirozeného vývoje zvláště chráněných druhů rostlin, bude postupovat v souladu s pokyny pracovníků Agentury ochrany přírody a krajiny ČR, RP Správa CHKO České středohoří. </w:t>
      </w:r>
    </w:p>
    <w:p w:rsidR="00BA4C51" w:rsidRPr="00B44786" w:rsidRDefault="00B5182A" w:rsidP="007B7364">
      <w:pPr>
        <w:pStyle w:val="Nadpis1"/>
      </w:pPr>
      <w:r w:rsidRPr="00B44786">
        <w:lastRenderedPageBreak/>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lastRenderedPageBreak/>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w:t>
      </w:r>
      <w:r w:rsidR="00CA6020">
        <w:br/>
      </w:r>
      <w:r>
        <w:t>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5724A8" w:rsidRDefault="006B6135" w:rsidP="00D33759">
      <w:pPr>
        <w:pStyle w:val="Odstavecseseznamem"/>
      </w:pPr>
      <w:r w:rsidRPr="005724A8">
        <w:t>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5724A8">
        <w:t>Smlouva nabývá účinnosti dnem podpisu oprávněným zástupcem poslední smluvní strany.</w:t>
      </w:r>
      <w:r w:rsidR="000B1CAF"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036C0A" w:rsidRPr="00C264BF" w:rsidRDefault="00036C0A" w:rsidP="00036C0A">
      <w:pPr>
        <w:pStyle w:val="Odstavecseseznamem"/>
        <w:numPr>
          <w:ilvl w:val="0"/>
          <w:numId w:val="0"/>
        </w:numPr>
        <w:ind w:left="357"/>
      </w:pPr>
    </w:p>
    <w:p w:rsidR="00BA4C51" w:rsidRPr="00C264BF" w:rsidRDefault="00BA4C51" w:rsidP="00D33759">
      <w:pPr>
        <w:pStyle w:val="Odstavecseseznamem"/>
      </w:pPr>
      <w:r w:rsidRPr="00C264BF">
        <w:lastRenderedPageBreak/>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r w:rsidR="005724A8">
              <w:rPr>
                <w:rFonts w:cs="Arial"/>
              </w:rPr>
              <w:t>Litoměřicích</w:t>
            </w:r>
          </w:p>
        </w:tc>
        <w:tc>
          <w:tcPr>
            <w:tcW w:w="2187" w:type="dxa"/>
          </w:tcPr>
          <w:p w:rsidR="00876C8D" w:rsidRDefault="00876C8D" w:rsidP="00FC21BA">
            <w:pPr>
              <w:rPr>
                <w:rFonts w:cs="Arial"/>
              </w:rPr>
            </w:pPr>
            <w:r w:rsidRPr="00A42D75">
              <w:rPr>
                <w:rFonts w:cs="Arial"/>
              </w:rPr>
              <w:t xml:space="preserve">dne </w:t>
            </w:r>
            <w:r w:rsidR="00FC21BA">
              <w:rPr>
                <w:rFonts w:cs="Arial"/>
              </w:rPr>
              <w:t>5. 6. 2025</w:t>
            </w:r>
          </w:p>
        </w:tc>
        <w:tc>
          <w:tcPr>
            <w:tcW w:w="2615" w:type="dxa"/>
          </w:tcPr>
          <w:p w:rsidR="00876C8D" w:rsidRDefault="00876C8D" w:rsidP="00BC08E9">
            <w:pPr>
              <w:rPr>
                <w:rFonts w:cs="Arial"/>
              </w:rPr>
            </w:pPr>
            <w:r>
              <w:rPr>
                <w:rFonts w:cs="Arial"/>
              </w:rPr>
              <w:t xml:space="preserve">V </w:t>
            </w:r>
            <w:r w:rsidR="005724A8">
              <w:rPr>
                <w:rFonts w:cs="Arial"/>
              </w:rPr>
              <w:t>Jaroměři</w:t>
            </w:r>
          </w:p>
        </w:tc>
        <w:tc>
          <w:tcPr>
            <w:tcW w:w="2052" w:type="dxa"/>
          </w:tcPr>
          <w:p w:rsidR="00876C8D" w:rsidRDefault="00876C8D" w:rsidP="00FC21BA">
            <w:pPr>
              <w:rPr>
                <w:rFonts w:cs="Arial"/>
              </w:rPr>
            </w:pPr>
            <w:r w:rsidRPr="00A42D75">
              <w:rPr>
                <w:rFonts w:cs="Arial"/>
              </w:rPr>
              <w:t xml:space="preserve">dne </w:t>
            </w:r>
            <w:bookmarkStart w:id="0" w:name="_GoBack"/>
            <w:bookmarkEnd w:id="0"/>
            <w:r w:rsidR="00FC21BA">
              <w:rPr>
                <w:rFonts w:cs="Arial"/>
              </w:rPr>
              <w:t>5. 6. 2025</w:t>
            </w:r>
          </w:p>
        </w:tc>
      </w:tr>
      <w:tr w:rsidR="00876C8D" w:rsidTr="00A52025">
        <w:trPr>
          <w:trHeight w:val="454"/>
        </w:trPr>
        <w:tc>
          <w:tcPr>
            <w:tcW w:w="2208" w:type="dxa"/>
            <w:vAlign w:val="center"/>
          </w:tcPr>
          <w:p w:rsidR="00876C8D" w:rsidRDefault="00876C8D" w:rsidP="005724A8">
            <w:pPr>
              <w:jc w:val="right"/>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5724A8">
            <w:pPr>
              <w:jc w:val="right"/>
              <w:rPr>
                <w:rFonts w:cs="Arial"/>
              </w:rPr>
            </w:pPr>
          </w:p>
        </w:tc>
        <w:tc>
          <w:tcPr>
            <w:tcW w:w="2615" w:type="dxa"/>
            <w:vAlign w:val="center"/>
          </w:tcPr>
          <w:p w:rsidR="00876C8D" w:rsidRDefault="00D041F1" w:rsidP="005724A8">
            <w:pPr>
              <w:jc w:val="right"/>
              <w:rPr>
                <w:rFonts w:cs="Arial"/>
              </w:rPr>
            </w:pPr>
            <w:r>
              <w:rPr>
                <w:rFonts w:cs="Arial"/>
              </w:rPr>
              <w:t>Za zhotovitele</w:t>
            </w:r>
          </w:p>
        </w:tc>
        <w:tc>
          <w:tcPr>
            <w:tcW w:w="2052" w:type="dxa"/>
            <w:vAlign w:val="center"/>
          </w:tcPr>
          <w:p w:rsidR="00876C8D" w:rsidRDefault="00876C8D" w:rsidP="005724A8">
            <w:pPr>
              <w:jc w:val="right"/>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444AAB" w:rsidP="00BC08E9">
            <w:pPr>
              <w:jc w:val="center"/>
              <w:rPr>
                <w:rFonts w:cs="Arial"/>
              </w:rPr>
            </w:pPr>
            <w:r>
              <w:rPr>
                <w:rFonts w:cs="Arial"/>
              </w:rPr>
              <w:t>Ing. Vladislav Kopecký</w:t>
            </w:r>
            <w:r w:rsidR="005724A8">
              <w:rPr>
                <w:rFonts w:cs="Arial"/>
              </w:rPr>
              <w:t>, vedoucí Oddělení péče o přírodu a krajinu,</w:t>
            </w:r>
          </w:p>
          <w:p w:rsidR="00876C8D" w:rsidRDefault="00444AAB" w:rsidP="00162206">
            <w:pPr>
              <w:spacing w:after="120"/>
              <w:jc w:val="center"/>
              <w:rPr>
                <w:rFonts w:cs="Arial"/>
              </w:rPr>
            </w:pPr>
            <w:r>
              <w:rPr>
                <w:rFonts w:cs="Arial"/>
              </w:rPr>
              <w:t>Regionální pracoviště SCHKO České středohoří</w:t>
            </w:r>
          </w:p>
        </w:tc>
        <w:tc>
          <w:tcPr>
            <w:tcW w:w="4667" w:type="dxa"/>
            <w:gridSpan w:val="2"/>
          </w:tcPr>
          <w:p w:rsidR="005724A8" w:rsidRDefault="005724A8" w:rsidP="00BC08E9">
            <w:pPr>
              <w:jc w:val="center"/>
              <w:rPr>
                <w:rFonts w:cs="Arial"/>
              </w:rPr>
            </w:pPr>
            <w:r>
              <w:rPr>
                <w:rFonts w:cs="Arial"/>
              </w:rPr>
              <w:t xml:space="preserve">Michal Jilma, DiS., </w:t>
            </w:r>
          </w:p>
          <w:p w:rsidR="00876C8D" w:rsidRDefault="005724A8" w:rsidP="00BC08E9">
            <w:pPr>
              <w:jc w:val="center"/>
              <w:rPr>
                <w:rFonts w:cs="Arial"/>
              </w:rPr>
            </w:pPr>
            <w:r>
              <w:rPr>
                <w:rFonts w:cs="Arial"/>
              </w:rPr>
              <w:t xml:space="preserve">předseda pobočného spolku </w:t>
            </w:r>
            <w:r w:rsidR="00444AAB">
              <w:rPr>
                <w:rFonts w:cs="Arial"/>
              </w:rPr>
              <w:t>Český svaz ochránců přírody Severní Čechy</w:t>
            </w:r>
          </w:p>
        </w:tc>
      </w:tr>
    </w:tbl>
    <w:p w:rsidR="0037433A" w:rsidRPr="00C264BF" w:rsidRDefault="0037433A">
      <w:pPr>
        <w:rPr>
          <w:rFonts w:cs="Arial"/>
        </w:rPr>
      </w:pPr>
    </w:p>
    <w:sectPr w:rsidR="0037433A" w:rsidRPr="00C264BF" w:rsidSect="00036C0A">
      <w:headerReference w:type="even" r:id="rId12"/>
      <w:headerReference w:type="default" r:id="rId13"/>
      <w:pgSz w:w="11906" w:h="16838"/>
      <w:pgMar w:top="1135"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F9F" w:rsidRDefault="00EB0F9F" w:rsidP="008B2D0A">
      <w:pPr>
        <w:spacing w:after="0" w:line="240" w:lineRule="auto"/>
      </w:pPr>
      <w:r>
        <w:separator/>
      </w:r>
    </w:p>
  </w:endnote>
  <w:endnote w:type="continuationSeparator" w:id="0">
    <w:p w:rsidR="00EB0F9F" w:rsidRDefault="00EB0F9F"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F9F" w:rsidRDefault="00EB0F9F" w:rsidP="008B2D0A">
      <w:pPr>
        <w:spacing w:after="0" w:line="240" w:lineRule="auto"/>
      </w:pPr>
      <w:r>
        <w:separator/>
      </w:r>
    </w:p>
  </w:footnote>
  <w:footnote w:type="continuationSeparator" w:id="0">
    <w:p w:rsidR="00EB0F9F" w:rsidRDefault="00EB0F9F" w:rsidP="008B2D0A">
      <w:pPr>
        <w:spacing w:after="0" w:line="240" w:lineRule="auto"/>
      </w:pPr>
      <w:r>
        <w:continuationSeparator/>
      </w:r>
    </w:p>
  </w:footnote>
  <w:footnote w:id="1">
    <w:p w:rsidR="00A61E54" w:rsidRDefault="00A61E54" w:rsidP="00A61E54">
      <w:pPr>
        <w:pStyle w:val="Textpoznpodarou"/>
        <w:jc w:val="both"/>
      </w:pPr>
      <w:r>
        <w:rPr>
          <w:rStyle w:val="Znakapoznpodarou"/>
        </w:rPr>
        <w:footnoteRef/>
      </w:r>
      <w:r>
        <w:t xml:space="preserve"> </w:t>
      </w:r>
      <w:r w:rsidRPr="002013D7">
        <w:t xml:space="preserve">Ve znění ZOPK účinném ke dni 31. 12. 2023 se jedná o odst. </w:t>
      </w:r>
      <w:r>
        <w:t>11</w:t>
      </w:r>
      <w:r w:rsidRPr="002013D7">
        <w:t xml:space="preserve">, který legislativním opomenutím novelizace ZOPK zůstává chybně uveden namísto odst. </w:t>
      </w:r>
      <w:r>
        <w:t xml:space="preserve">14 </w:t>
      </w:r>
      <w:r w:rsidRPr="002013D7">
        <w:t>v § 90 odst. 19 písm. b) ZOPK i v platném a účinném znění od 1.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9F776D9"/>
    <w:multiLevelType w:val="hybridMultilevel"/>
    <w:tmpl w:val="67EC5F8A"/>
    <w:lvl w:ilvl="0" w:tplc="CE40EA56">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3"/>
  </w:num>
  <w:num w:numId="6">
    <w:abstractNumId w:val="13"/>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3"/>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36C0A"/>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C1306"/>
    <w:rsid w:val="002E4BA2"/>
    <w:rsid w:val="002F0635"/>
    <w:rsid w:val="00305126"/>
    <w:rsid w:val="0030652D"/>
    <w:rsid w:val="003102B9"/>
    <w:rsid w:val="00366B20"/>
    <w:rsid w:val="0037433A"/>
    <w:rsid w:val="003B4E32"/>
    <w:rsid w:val="003D1A80"/>
    <w:rsid w:val="0041037D"/>
    <w:rsid w:val="00413D58"/>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61063"/>
    <w:rsid w:val="00570512"/>
    <w:rsid w:val="005710A3"/>
    <w:rsid w:val="005724A8"/>
    <w:rsid w:val="0057727A"/>
    <w:rsid w:val="005A2B54"/>
    <w:rsid w:val="005F29F3"/>
    <w:rsid w:val="00605023"/>
    <w:rsid w:val="00611630"/>
    <w:rsid w:val="0061536C"/>
    <w:rsid w:val="006424FA"/>
    <w:rsid w:val="00642697"/>
    <w:rsid w:val="00643400"/>
    <w:rsid w:val="00656982"/>
    <w:rsid w:val="0066635D"/>
    <w:rsid w:val="006B6135"/>
    <w:rsid w:val="006E4A9A"/>
    <w:rsid w:val="006F477E"/>
    <w:rsid w:val="00700503"/>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4562D"/>
    <w:rsid w:val="00A518EF"/>
    <w:rsid w:val="00A52025"/>
    <w:rsid w:val="00A61E54"/>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6625"/>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3A3A"/>
    <w:rsid w:val="00C35E17"/>
    <w:rsid w:val="00C36F76"/>
    <w:rsid w:val="00C53EB9"/>
    <w:rsid w:val="00C61950"/>
    <w:rsid w:val="00C7443F"/>
    <w:rsid w:val="00C976BB"/>
    <w:rsid w:val="00CA6020"/>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268B0"/>
    <w:rsid w:val="00E3271E"/>
    <w:rsid w:val="00E408E5"/>
    <w:rsid w:val="00E42DBE"/>
    <w:rsid w:val="00E62AC6"/>
    <w:rsid w:val="00E85591"/>
    <w:rsid w:val="00EB0F9F"/>
    <w:rsid w:val="00EC689C"/>
    <w:rsid w:val="00ED6D6E"/>
    <w:rsid w:val="00F03462"/>
    <w:rsid w:val="00F10769"/>
    <w:rsid w:val="00F10B10"/>
    <w:rsid w:val="00F60271"/>
    <w:rsid w:val="00F8166B"/>
    <w:rsid w:val="00F84759"/>
    <w:rsid w:val="00FC21BA"/>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200E3"/>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paragraph" w:styleId="Textpoznpodarou">
    <w:name w:val="footnote text"/>
    <w:basedOn w:val="Normln"/>
    <w:link w:val="TextpoznpodarouChar"/>
    <w:uiPriority w:val="99"/>
    <w:semiHidden/>
    <w:rsid w:val="00A61E54"/>
    <w:pPr>
      <w:spacing w:after="0" w:line="240" w:lineRule="auto"/>
    </w:pPr>
    <w:rPr>
      <w:rFonts w:ascii="Times New Roman" w:eastAsia="Times New Roman" w:hAnsi="Times New Roman" w:cs="Times New Roman"/>
      <w:szCs w:val="20"/>
    </w:rPr>
  </w:style>
  <w:style w:type="character" w:customStyle="1" w:styleId="TextpoznpodarouChar">
    <w:name w:val="Text pozn. pod čarou Char"/>
    <w:basedOn w:val="Standardnpsmoodstavce"/>
    <w:link w:val="Textpoznpodarou"/>
    <w:uiPriority w:val="99"/>
    <w:semiHidden/>
    <w:rsid w:val="00A61E54"/>
    <w:rPr>
      <w:rFonts w:ascii="Times New Roman" w:eastAsia="Times New Roman" w:hAnsi="Times New Roman" w:cs="Times New Roman"/>
      <w:szCs w:val="20"/>
    </w:rPr>
  </w:style>
  <w:style w:type="character" w:styleId="Znakapoznpodarou">
    <w:name w:val="footnote reference"/>
    <w:uiPriority w:val="99"/>
    <w:semiHidden/>
    <w:rsid w:val="00A61E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1df795ae-2c70-464b-8ca3-4eb6d5c688a6"/>
    <ds:schemaRef ds:uri="63f5bd56-79c6-432a-8457-3215e7a0eadc"/>
    <ds:schemaRef ds:uri="http://purl.org/dc/elements/1.1/"/>
  </ds:schemaRefs>
</ds:datastoreItem>
</file>

<file path=customXml/itemProps4.xml><?xml version="1.0" encoding="utf-8"?>
<ds:datastoreItem xmlns:ds="http://schemas.openxmlformats.org/officeDocument/2006/customXml" ds:itemID="{E3053F48-32EA-4F21-BE35-69D14F766E19}">
  <ds:schemaRefs>
    <ds:schemaRef ds:uri="http://schemas.openxmlformats.org/officeDocument/2006/bibliography"/>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187</TotalTime>
  <Pages>6</Pages>
  <Words>2076</Words>
  <Characters>12253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14</cp:revision>
  <dcterms:created xsi:type="dcterms:W3CDTF">2025-06-03T05:47:00Z</dcterms:created>
  <dcterms:modified xsi:type="dcterms:W3CDTF">2025-06-05T10:48:00Z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