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6619" w:val="left"/>
        </w:tabs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-12065</wp:posOffset>
            </wp:positionH>
            <wp:positionV relativeFrom="margin">
              <wp:posOffset>423545</wp:posOffset>
            </wp:positionV>
            <wp:extent cx="6224270" cy="926592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224270" cy="92659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Příloha č. 1 SOD č. 454/2025 Oceněný soupis prací</w:t>
        <w:tab/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příloha č. 1: CENÍK POTÁPĚČSKÝCH PRACÍ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Rámcová dohoda na potápěčské práce pro roky 2025 a 2026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1 - Ceník potápěčských prací pro roky 2025 a 2026</w:t>
      </w:r>
      <w:bookmarkEnd w:id="0"/>
      <w:bookmarkEnd w:id="1"/>
      <w:bookmarkEnd w:id="2"/>
    </w:p>
    <w:tbl>
      <w:tblPr>
        <w:tblOverlap w:val="never"/>
        <w:jc w:val="center"/>
        <w:tblLayout w:type="fixed"/>
      </w:tblPr>
      <w:tblGrid>
        <w:gridCol w:w="706"/>
        <w:gridCol w:w="4546"/>
        <w:gridCol w:w="1109"/>
        <w:gridCol w:w="974"/>
        <w:gridCol w:w="1080"/>
        <w:gridCol w:w="1306"/>
      </w:tblGrid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Potápěčské práce stavební: MVE Kadaň - kontrola vtokového objektu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FFFF01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Celkem:</w:t>
            </w:r>
          </w:p>
        </w:tc>
        <w:tc>
          <w:tcPr>
            <w:tcBorders/>
            <w:shd w:val="clear" w:color="auto" w:fill="FFFF0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204 247,00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137 931,00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39 200,00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 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 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 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 í plovouc 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 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 í zařízen 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 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 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6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6 996,00</w:t>
            </w:r>
          </w:p>
        </w:tc>
      </w:tr>
      <w:tr>
        <w:trPr>
          <w:trHeight w:val="5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2 400,00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 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 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</w:tr>
    </w:tbl>
    <w:p>
      <w:pPr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9" w:h="16834"/>
          <w:pgMar w:top="425" w:left="1015" w:right="1010" w:bottom="723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framePr w:w="9802" w:h="552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6224270" cy="350520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6224270" cy="350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6044565" simplePos="0" relativeHeight="125829378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0</wp:posOffset>
                </wp:positionV>
                <wp:extent cx="179705" cy="182880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70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km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69.30000000000001pt;margin-top:0;width:14.15pt;height:14.4pt;z-index:-125829375;mso-wrap-distance-left:0;mso-wrap-distance-right:475.94999999999999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km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019800" simplePos="0" relativeHeight="125829380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0</wp:posOffset>
                </wp:positionV>
                <wp:extent cx="204470" cy="182880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447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104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48.5pt;margin-top:0;width:16.100000000000001pt;height:14.4pt;z-index:-125829373;mso-wrap-distance-left:0;mso-wrap-distance-right:474.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104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306695" simplePos="0" relativeHeight="12582938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0</wp:posOffset>
                </wp:positionV>
                <wp:extent cx="917575" cy="344170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7575" cy="344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5" w:lineRule="auto"/>
                              <w:ind w:left="0" w:right="0" w:firstLine="36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6 doprava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Celkem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.1499999999999999pt;margin-top:0;width:72.25pt;height:27.100000000000001pt;z-index:-125829371;mso-wrap-distance-left:0;mso-wrap-distance-right:417.85000000000002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5" w:lineRule="auto"/>
                        <w:ind w:left="0" w:right="0" w:firstLine="36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6 doprava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Celkem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160645" simplePos="0" relativeHeight="125829384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0</wp:posOffset>
                </wp:positionV>
                <wp:extent cx="1063625" cy="347345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3625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98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55</w:t>
                              <w:tab/>
                              <w:t>5 720,00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20 120,00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04.40000000000003pt;margin-top:0;width:83.75pt;height:27.350000000000001pt;z-index:-125829369;mso-wrap-distance-left:0;mso-wrap-distance-right:406.35000000000002pt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98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55</w:t>
                        <w:tab/>
                        <w:t>5 720,00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20 120,00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headerReference w:type="default" r:id="rId10"/>
          <w:footerReference w:type="default" r:id="rId11"/>
          <w:footnotePr>
            <w:pos w:val="pageBottom"/>
            <w:numFmt w:val="decimal"/>
            <w:numRestart w:val="continuous"/>
          </w:footnotePr>
          <w:pgSz w:w="11909" w:h="16834"/>
          <w:pgMar w:top="1102" w:left="996" w:right="1111" w:bottom="110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2 pracovní dny. V pracovním dnu se provedou 2 ponory. Veškeré ponory musí být realizovány potápěčem a zajištěny jisticím potápěčem.</w:t>
      </w: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headerReference w:type="default" r:id="rId12"/>
          <w:footerReference w:type="default" r:id="rId13"/>
          <w:footnotePr>
            <w:pos w:val="pageBottom"/>
            <w:numFmt w:val="decimal"/>
            <w:numRestart w:val="continuous"/>
          </w:footnotePr>
          <w:pgSz w:w="11909" w:h="16834"/>
          <w:pgMar w:top="847" w:left="996" w:right="1034" w:bottom="823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framePr w:w="5582" w:h="365" w:wrap="none" w:vAnchor="text" w:hAnchor="page" w:x="310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1 - Ceník potápěčských prací pro roky 2025 a 2026</w:t>
      </w:r>
    </w:p>
    <w:tbl>
      <w:tblPr>
        <w:tblOverlap w:val="never"/>
        <w:jc w:val="left"/>
        <w:tblLayout w:type="fixed"/>
      </w:tblPr>
      <w:tblGrid>
        <w:gridCol w:w="710"/>
        <w:gridCol w:w="4541"/>
        <w:gridCol w:w="1109"/>
        <w:gridCol w:w="974"/>
        <w:gridCol w:w="1080"/>
        <w:gridCol w:w="1306"/>
      </w:tblGrid>
      <w:tr>
        <w:trPr>
          <w:trHeight w:val="3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Potápěčské práce stavební: MVE Kadaň - hrazení MVE, kontrola stavu sedimentů vtoku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01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Celkem:</w:t>
            </w: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202 547,00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137 931,00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39 200,00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 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 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 í plovouc 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 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 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 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 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9720" w:h="14213" w:wrap="none" w:vAnchor="text" w:hAnchor="page" w:x="1040" w:y="414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6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3 996,00</w:t>
            </w:r>
          </w:p>
        </w:tc>
      </w:tr>
      <w:tr>
        <w:trPr>
          <w:trHeight w:val="5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 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 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213" w:wrap="none" w:vAnchor="text" w:hAnchor="page" w:x="1040" w:y="4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4213" w:wrap="none" w:vAnchor="text" w:hAnchor="page" w:x="1040" w:y="4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</w:tr>
    </w:tbl>
    <w:p>
      <w:pPr>
        <w:framePr w:w="9720" w:h="14213" w:wrap="none" w:vAnchor="text" w:hAnchor="page" w:x="1040" w:y="41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632460</wp:posOffset>
            </wp:positionH>
            <wp:positionV relativeFrom="paragraph">
              <wp:posOffset>12700</wp:posOffset>
            </wp:positionV>
            <wp:extent cx="6224270" cy="9265920"/>
            <wp:wrapNone/>
            <wp:docPr id="22" name="Shap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6224270" cy="92659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847" w:left="996" w:right="1034" w:bottom="82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47" w:left="996" w:right="1034" w:bottom="823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389"/>
        <w:gridCol w:w="2880"/>
        <w:gridCol w:w="1378"/>
        <w:gridCol w:w="974"/>
        <w:gridCol w:w="1099"/>
      </w:tblGrid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5 720,00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262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262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262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18 920,00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262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262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262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262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škvára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9720" w:h="1262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2 500,00</w:t>
            </w:r>
          </w:p>
        </w:tc>
      </w:tr>
    </w:tbl>
    <w:p>
      <w:pPr>
        <w:framePr w:w="9720" w:h="1262" w:wrap="none" w:vAnchor="text" w:hAnchor="page" w:x="1040" w:y="2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632460</wp:posOffset>
            </wp:positionH>
            <wp:positionV relativeFrom="paragraph">
              <wp:posOffset>12700</wp:posOffset>
            </wp:positionV>
            <wp:extent cx="6224270" cy="807720"/>
            <wp:wrapNone/>
            <wp:docPr id="24" name="Shap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622427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56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847" w:left="996" w:right="1034" w:bottom="82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2 pracovní dny. V pracovním dnu se provedou 2 ponory. Veškeré ponory musí být realizovány potápěčem a zajištěny jisticím potápěčem.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Těsnící materiál škvára, frakce vhodná na dotěsnění průsaků - tento materiál pochází z dlouhodobých (cca 30 let) zásob Potápěčské práce, a.s..</w:t>
      </w:r>
    </w:p>
    <w:sectPr>
      <w:footnotePr>
        <w:pos w:val="pageBottom"/>
        <w:numFmt w:val="decimal"/>
        <w:numRestart w:val="continuous"/>
      </w:footnotePr>
      <w:type w:val="continuous"/>
      <w:pgSz w:w="11909" w:h="16834"/>
      <w:pgMar w:top="1087" w:left="1039" w:right="1149" w:bottom="108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10230485</wp:posOffset>
              </wp:positionV>
              <wp:extent cx="57785" cy="15240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14999999999998pt;margin-top:805.55000000000007pt;width:4.5499999999999998pt;height:12.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10230485</wp:posOffset>
              </wp:positionV>
              <wp:extent cx="57785" cy="15240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539.14999999999998pt;margin-top:805.55000000000007pt;width:4.5499999999999998pt;height:12.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10230485</wp:posOffset>
              </wp:positionV>
              <wp:extent cx="57785" cy="152400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539.14999999999998pt;margin-top:805.55000000000007pt;width:4.5499999999999998pt;height:12.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662940</wp:posOffset>
              </wp:positionH>
              <wp:positionV relativeFrom="page">
                <wp:posOffset>288290</wp:posOffset>
              </wp:positionV>
              <wp:extent cx="6239510" cy="186055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39510" cy="186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82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Rámcová dohoda na potápěčské práce pro roky 2025 a 2026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příloha č. 1: CENÍK POTÁPĚČSKÝCH PRACÍ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52.200000000000003pt;margin-top:22.699999999999999pt;width:491.30000000000001pt;height:14.65pt;z-index:-18874406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2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Rámcová dohoda na potápěčské práce pro roky 2025 a 2026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příloha č. 1: CENÍK POTÁPĚČSKÝCH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662940</wp:posOffset>
              </wp:positionH>
              <wp:positionV relativeFrom="page">
                <wp:posOffset>288290</wp:posOffset>
              </wp:positionV>
              <wp:extent cx="6239510" cy="186055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39510" cy="186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82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Rámcová dohoda na potápěčské práce pro roky 2025 a 2026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příloha č. 1: CENÍK POTÁPĚČSKÝCH PRACÍ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52.200000000000003pt;margin-top:22.699999999999999pt;width:491.30000000000001pt;height:14.65pt;z-index:-18874405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2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Rámcová dohoda na potápěčské práce pro roky 2025 a 2026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příloha č. 1: CENÍK POTÁPĚČSKÝCH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Char Style 23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8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Style 22"/>
    <w:basedOn w:val="Normal"/>
    <w:link w:val="CharStyle23"/>
    <w:pPr>
      <w:widowControl w:val="0"/>
      <w:shd w:val="clear" w:color="auto" w:fill="FFFFFF"/>
      <w:spacing w:line="30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image" Target="media/image3.jpeg"/><Relationship Id="rId15" Type="http://schemas.openxmlformats.org/officeDocument/2006/relationships/image" Target="media/image3.jpeg" TargetMode="External"/><Relationship Id="rId16" Type="http://schemas.openxmlformats.org/officeDocument/2006/relationships/image" Target="media/image4.jpeg"/><Relationship Id="rId17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