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zastoupen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IČ: 26 72 30 00, DIČ: CZ 26 72 30 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(dále jen ARCHA+)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2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Heartnoize Promotion s.r.o.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sídlem Bořivojova 834/71, Žižkov, 130 00 Praha 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zastoupen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jednatelem/jednatelkou společnosti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IČO: 09662278,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DIČ:CZ09662278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(dále jen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HP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226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0E">
      <w:pPr>
        <w:ind w:right="-226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26"/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SPOLUPRÁCI PŘI USPOŘÁDÁNÍ KONCERTU</w:t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I.</w:t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Předmět smlouvy 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Předmětem této smlouvy je koprodukční spolupráce smluvních stran při přípravě a realizaci koncertu americké kapely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SUNN O)))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(dále jen Koncert). Koncert se uskuteční v prostoru ARCHY+ 14. června 2025 od 20 hodin.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Tato smlouva upravuje vzájemná práva a povinnosti smluvních stran sjednané za účelem naplnění předmětu této smlouvy.  </w:t>
      </w:r>
    </w:p>
    <w:p w:rsidR="00000000" w:rsidDel="00000000" w:rsidP="00000000" w:rsidRDefault="00000000" w:rsidRPr="00000000" w14:paraId="00000017">
      <w:pPr>
        <w:ind w:right="-22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540" w:right="-226" w:firstLine="708.000000000000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II.</w:t>
      </w:r>
    </w:p>
    <w:p w:rsidR="00000000" w:rsidDel="00000000" w:rsidP="00000000" w:rsidRDefault="00000000" w:rsidRPr="00000000" w14:paraId="00000019">
      <w:pPr>
        <w:ind w:right="-226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Práva a povinnosti ARCHA+ 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5.19685039370086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ARCHA+ se zavazuje poskytnout dne 14. 6. 2025 velký sál a jeho zázemí včetně šaten v prostoru ARCHY+ (ulice Na Poříčí 26, Praha 1) pro přípravu a vlastní realizaci Koncertu. Součástí poskytnutí prostor je rovněž dodávka energií a vody.  Prostory budou poskytnuty dle níže uvedeného harmonogramu, který může být po vzájemné dohodě Smluvních stran upraven: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13:00 - get in/load in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TBD - fog/fire alarm test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17:00-18:30 - zvukovka Sunn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18:30-19:00 - VIP zvukovka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20:30 - dveře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21:30-23:00 - SUNN O)))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23:00-01:00 - load out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1:30 - curfew</w:t>
      </w:r>
    </w:p>
    <w:p w:rsidR="00000000" w:rsidDel="00000000" w:rsidP="00000000" w:rsidRDefault="00000000" w:rsidRPr="00000000" w14:paraId="00000025">
      <w:pPr>
        <w:shd w:fill="ffffff" w:val="clear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Kontaktní osobou pro domluvu a případné změny v harmonogramu je produkční Ondřej  Sychra –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ondrej.sychra@archa-plus.cz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59" w:lineRule="auto"/>
        <w:ind w:left="425.1968503937008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ARCHA+ má právo rozhodovat o využití prostor foyer, chodeb a baru veřejností před i po Koncertu. O otevírací době baru rozhoduje výhradně ARCHA+.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59" w:lineRule="auto"/>
        <w:ind w:left="425.1968503937008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ARCHA+ se zavazuje prostřednictvím externích spolupracovníků zajistit pro realizaci Koncertu osvětlovací, zvukařské a další jevištní služby včetně poskytnutí zvukařské, osvětlovací a video techniky, vše v rozsahu vybavení divadla ARCHA+ a dle dodaných technických požadavků. Smluvní strany se shodují, že vybavení ARCHY+ je dostačující pro realizaci Koncertu.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59" w:lineRule="auto"/>
        <w:ind w:left="425.1968503937008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ARCHA+ na vlastní náklady zajistí produkční, organizační a provozní realizaci akce v rozsahu dle dohody Smluvních stran.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59" w:lineRule="auto"/>
        <w:ind w:left="425.1968503937008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ARCHA+ na vlastní náklady zajistí pořadatelskou službu, požární asistenční hlídku a úklid prostor před uspořádáním Koncertu.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59" w:lineRule="auto"/>
        <w:ind w:left="425.1968503937008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ARCHA+ poskytne součinnost při propagaci koncertu v obvyklém rozsahu. Informace o Koncertu zveřejní na sociálních sítích a zahrne je do svých programových přehledů.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59" w:lineRule="auto"/>
        <w:ind w:left="425.1968503937008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ARCHA+ po dohodě s HP zajistí předprodej vstupenek pouze v pokladně v den konání koncertu (dvě hodiny před začátkem koncertu). On-line prodej vstupenek zajišťuje HP. Počty volných vstupenek, které mohou Smluvní strany využít, budou předmětem dohody Smluvních stran. Kontaktní osobou pro jednání o vstupenkách je za ARCHU+ Martina Žáková – martina.zakova</w:t>
      </w:r>
      <w:hyperlink r:id="rId8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@archa-plus.cz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59" w:lineRule="auto"/>
        <w:ind w:left="425.1968503937008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ARCHA+ se zavazuje zaslat vyúčtování prodeje vstupenek na pokladně nejpozději do týdne od konání Koncertu. Tržba ze vstupného po odečtení provize ve výši 3,7% náleží HP.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59" w:lineRule="auto"/>
        <w:ind w:left="425.1968503937008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ARCHA+ nenese odpovědnost za škody na zdraví a majetku účinkujících a dalších spolupracujících osob zajištěných ze strany HP. HP se zavazuje takové škody pokrýt a uhradit svým pojištěním, případně se nároků na škodu vzdát.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59" w:lineRule="auto"/>
        <w:ind w:left="425.1968503937008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59" w:lineRule="auto"/>
        <w:ind w:left="425.1968503937008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ARCHA+ je oprávněna pořídit krátký videozáznam a fotografie z Koncertu a používat je bez omezení pro propagaci a pro prezentaci své činnosti, nikoliv však ke komerčním účelům.  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59" w:lineRule="auto"/>
        <w:ind w:left="425.19685039370086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ARCHA+ se zavazuje podílet na uspořádání Koncertu úhradou části vlastních nákladů vzniklých v souvislosti s jeho uspořádáním. </w:t>
        <w:br w:type="textWrapping"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33">
      <w:pPr>
        <w:ind w:right="-226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Práva a povinnosti HP</w:t>
      </w:r>
    </w:p>
    <w:p w:rsidR="00000000" w:rsidDel="00000000" w:rsidP="00000000" w:rsidRDefault="00000000" w:rsidRPr="00000000" w14:paraId="00000034">
      <w:pPr>
        <w:ind w:right="-226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HP zajistí vystoupení umělců na Koncertě a dle domluveného harmonogramu.  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HP zajistí a uhradí dopravu a ubytování vystupujících umělců a jejich spolupracovníků dle jejich požadavků.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HP vyplatí požadované honoráře za umělecké výkony na základě samostatně uzavřených smluv.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501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HP prohlašuje, že je jí znám stav prostoru ARCHY+, kde se koncert uskuteční. Zároveň seznámila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HP uhradí autorské odměny a poplatky a ohlásí uskutečnění Koncertu kolektivnímu správci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HP zajistí on-line předprodej vstupenek prostřednictvím internetového serveru GoOut. Vstupné náleží v plné výši HP.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HP bude spolupracovat při propagaci Koncertu poskytnutím potřebných podkladů a vlastní propagací prostřednictvím svých komunikačních kanálů. HP se zavazuje uvést na veškerých propagačních materiálech ke Koncertu logo prostoru ARCHA+ a text „Uvedeno ve spolupráci s ARCHA+“, nebo prezentovat ARCHU+ jiným způsobem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dle dohody zástupců smluvních stran. 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HP se zavazuje zajistit catering pro účinkující dle jejich požadavků. 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HP se zavazuje uhradit náklady spojené s uspořádáním Koncertu dle podmínek uvedených v článku III. a IV. 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501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HP uhradí za služby dle článku II poskytnuté ARCHOU+ cenu dle článku IV.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643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Smluvní strany se jako spolupořadatelé podílejí na uspořádání Koncertu formou zajištění vybraných služeb dle článků II a III na vlastní náklady.  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643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 část služeb poskytnutých ARCHOU+ dle článku II uhradí  HP cenu ve výši 80.000 Kč (slovy: osmdesát tisíc  korun českých). Cena bude uhrazena na základě faktury vystavené ARCHOU+ nejdříve v den uskutečnění Koncertu se splatností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7 dnů.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643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Tržby ze vstupného náleží HP. 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643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případě prodeje vstupenek v pokladně na místě před koncertem zašle ARCHA+ vyúčtování  tržeb nejpozději 5 dnů po uskutečnění Koncertu. Z tržby bude odečtena provize ve výši 3,7%. Čistá tržba bude převedena na účet HP na základě faktury vystavené HP. DPH je součástí čisté tržby.   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643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Uhrazením ceny dle bodu 2 a převodem tržeb dle bodu 4 budou vyrovnány finanční závazky smluvních stran vyplývajících z této smlouvy.</w:t>
      </w:r>
    </w:p>
    <w:p w:rsidR="00000000" w:rsidDel="00000000" w:rsidP="00000000" w:rsidRDefault="00000000" w:rsidRPr="00000000" w14:paraId="00000048">
      <w:pPr>
        <w:ind w:right="-22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284" w:right="-22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V.</w:t>
      </w:r>
    </w:p>
    <w:p w:rsidR="00000000" w:rsidDel="00000000" w:rsidP="00000000" w:rsidRDefault="00000000" w:rsidRPr="00000000" w14:paraId="0000004A">
      <w:pPr>
        <w:ind w:right="-226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Ostatní ujednání</w:t>
      </w:r>
    </w:p>
    <w:p w:rsidR="00000000" w:rsidDel="00000000" w:rsidP="00000000" w:rsidRDefault="00000000" w:rsidRPr="00000000" w14:paraId="0000004B">
      <w:pPr>
        <w:ind w:right="-226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případě, že se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Pokud jedna ze stran odstoupí od smlouvy z důvodů na své straně, zavazuje se tato strana uhradit druhé straně náklady prokazatelně vynaložené do doby odstoupení od smlouvy související s přípravou Koncertu dle této smlouvy. Dále se odstupující strana zavazuje uhradit pokutu ve výš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i 50 000 Kč (s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lovy padesát tisíc korun českých). 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Náklady i pokuta dle odst. 2 budou uhrazeny na základě faktur vystavených poškozenou (neodstupující) smluvní stranou.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51">
      <w:pPr>
        <w:ind w:right="-226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Závěrečná ustanovení</w:t>
      </w:r>
    </w:p>
    <w:p w:rsidR="00000000" w:rsidDel="00000000" w:rsidP="00000000" w:rsidRDefault="00000000" w:rsidRPr="00000000" w14:paraId="00000052">
      <w:pPr>
        <w:ind w:right="-226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720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720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Smluvní strany souhlasí s uveřejněním této smlouvy v registru smluv podle zvláštního zákona. Zákonnou povinnost se zavazuje splnit ARCHA+.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ind w:left="720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720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720" w:right="-226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Smluvní strany prohlašují, že tuto smlouvu uzavřely svobodně, vážně, nikoli v tísni a za jednostranně nevýhodných podmínek, a že znají její obsah, což stvrzují svými podpisy.</w:t>
      </w:r>
    </w:p>
    <w:p w:rsidR="00000000" w:rsidDel="00000000" w:rsidP="00000000" w:rsidRDefault="00000000" w:rsidRPr="00000000" w14:paraId="0000005A">
      <w:pPr>
        <w:ind w:right="-22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09" w:right="-22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09" w:right="-22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Praze dne:  29. 5. 2025</w:t>
        <w:tab/>
        <w:tab/>
        <w:tab/>
        <w:tab/>
      </w:r>
    </w:p>
    <w:p w:rsidR="00000000" w:rsidDel="00000000" w:rsidP="00000000" w:rsidRDefault="00000000" w:rsidRPr="00000000" w14:paraId="0000005D">
      <w:pPr>
        <w:ind w:left="709" w:right="-22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09" w:right="-22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09" w:right="-22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09" w:right="-22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09" w:right="-22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Divadlo Archa, o. p. s.</w:t>
        <w:tab/>
        <w:t xml:space="preserve">                         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Heartnoize Promotion s.r.o.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5.196850393700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643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3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2029D0"/>
    <w:pPr>
      <w:spacing w:after="0" w:line="240" w:lineRule="auto"/>
    </w:pPr>
    <w:rPr>
      <w:rFonts w:ascii="RomanEES" w:cs="Times New Roman" w:eastAsia="Times New Roman" w:hAnsi="RomanEES"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 w:val="1"/>
    <w:rsid w:val="00480242"/>
    <w:pPr>
      <w:spacing w:after="100" w:afterAutospacing="1" w:before="100" w:beforeAutospacing="1"/>
      <w:outlineLvl w:val="0"/>
    </w:pPr>
    <w:rPr>
      <w:rFonts w:ascii="Times New Roman" w:hAnsi="Times New Roman"/>
      <w:b w:val="1"/>
      <w:bCs w:val="1"/>
      <w:kern w:val="36"/>
      <w:sz w:val="48"/>
      <w:szCs w:val="4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semiHidden w:val="1"/>
    <w:rsid w:val="002029D0"/>
    <w:pPr>
      <w:tabs>
        <w:tab w:val="center" w:pos="4819"/>
        <w:tab w:val="right" w:pos="9071"/>
      </w:tabs>
    </w:pPr>
  </w:style>
  <w:style w:type="character" w:styleId="ZhlavChar" w:customStyle="1">
    <w:name w:val="Záhlaví Char"/>
    <w:basedOn w:val="Standardnpsmoodstavce"/>
    <w:link w:val="Zhlav"/>
    <w:semiHidden w:val="1"/>
    <w:rsid w:val="002029D0"/>
    <w:rPr>
      <w:rFonts w:ascii="RomanEES" w:cs="Times New Roman" w:eastAsia="Times New Roman" w:hAnsi="RomanEES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 w:val="1"/>
    <w:rsid w:val="002029D0"/>
    <w:pPr>
      <w:jc w:val="both"/>
    </w:pPr>
    <w:rPr>
      <w:rFonts w:ascii="Times New Roman" w:hAnsi="Times New Roman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2029D0"/>
    <w:rPr>
      <w:rFonts w:ascii="Times New Roman" w:cs="Times New Roman" w:eastAsia="Times New Roman" w:hAnsi="Times New Roman"/>
      <w:sz w:val="24"/>
      <w:szCs w:val="20"/>
      <w:lang w:eastAsia="cs-CZ"/>
    </w:rPr>
  </w:style>
  <w:style w:type="paragraph" w:styleId="Textvbloku">
    <w:name w:val="Block Text"/>
    <w:basedOn w:val="Normln"/>
    <w:semiHidden w:val="1"/>
    <w:rsid w:val="002029D0"/>
    <w:pPr>
      <w:ind w:left="284" w:right="-226"/>
      <w:jc w:val="both"/>
    </w:pPr>
    <w:rPr>
      <w:rFonts w:ascii="Arial Narrow" w:hAnsi="Arial Narrow"/>
    </w:rPr>
  </w:style>
  <w:style w:type="character" w:styleId="slostrnky">
    <w:name w:val="page number"/>
    <w:basedOn w:val="Standardnpsmoodstavce"/>
    <w:semiHidden w:val="1"/>
    <w:rsid w:val="002029D0"/>
  </w:style>
  <w:style w:type="paragraph" w:styleId="Zpat">
    <w:name w:val="footer"/>
    <w:basedOn w:val="Normln"/>
    <w:link w:val="ZpatChar"/>
    <w:uiPriority w:val="99"/>
    <w:unhideWhenUsed w:val="1"/>
    <w:rsid w:val="002029D0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2029D0"/>
    <w:rPr>
      <w:rFonts w:ascii="RomanEES" w:cs="Times New Roman" w:eastAsia="Times New Roman" w:hAnsi="RomanEES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029D0"/>
    <w:pPr>
      <w:spacing w:after="120"/>
      <w:ind w:left="283"/>
    </w:pPr>
  </w:style>
  <w:style w:type="character" w:styleId="ZkladntextodsazenChar" w:customStyle="1">
    <w:name w:val="Základní text odsazený Char"/>
    <w:basedOn w:val="Standardnpsmoodstavce"/>
    <w:link w:val="Zkladntextodsazen"/>
    <w:uiPriority w:val="99"/>
    <w:rsid w:val="002029D0"/>
    <w:rPr>
      <w:rFonts w:ascii="RomanEES" w:cs="Times New Roman" w:eastAsia="Times New Roman" w:hAnsi="RomanEES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2029D0"/>
    <w:rPr>
      <w:color w:val="0563c1" w:themeColor="hyperlink"/>
      <w:u w:val="single"/>
    </w:rPr>
  </w:style>
  <w:style w:type="character" w:styleId="OdstavecseseznamemChar" w:customStyle="1">
    <w:name w:val="Odstavec se seznamem Char"/>
    <w:link w:val="Odstavecseseznamem"/>
    <w:uiPriority w:val="34"/>
    <w:locked w:val="1"/>
    <w:rsid w:val="00336A23"/>
    <w:rPr>
      <w:rFonts w:ascii="Calibri" w:cs="Calibri" w:eastAsia="Calibri" w:hAnsi="Calibri"/>
    </w:rPr>
  </w:style>
  <w:style w:type="paragraph" w:styleId="Odstavecseseznamem">
    <w:name w:val="List Paragraph"/>
    <w:basedOn w:val="Normln"/>
    <w:link w:val="OdstavecseseznamemChar"/>
    <w:uiPriority w:val="34"/>
    <w:qFormat w:val="1"/>
    <w:rsid w:val="00336A23"/>
    <w:pPr>
      <w:spacing w:after="160" w:line="256" w:lineRule="auto"/>
      <w:ind w:left="720"/>
      <w:contextualSpacing w:val="1"/>
    </w:pPr>
    <w:rPr>
      <w:rFonts w:ascii="Calibri" w:cs="Calibri" w:eastAsia="Calibri" w:hAnsi="Calibri"/>
      <w:sz w:val="22"/>
      <w:szCs w:val="22"/>
      <w:lang w:eastAsia="en-US"/>
    </w:rPr>
  </w:style>
  <w:style w:type="character" w:styleId="Nadpis1Char" w:customStyle="1">
    <w:name w:val="Nadpis 1 Char"/>
    <w:basedOn w:val="Standardnpsmoodstavce"/>
    <w:link w:val="Nadpis1"/>
    <w:uiPriority w:val="9"/>
    <w:rsid w:val="00480242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ndrej.sychra@archa-plus.cz" TargetMode="External"/><Relationship Id="rId8" Type="http://schemas.openxmlformats.org/officeDocument/2006/relationships/hyperlink" Target="mailto:bara.prokopova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lFZ90apDPyLCRpqhRJ6vW2/iQ==">CgMxLjAyCGguZ2pkZ3hzOAByITFNZ2xmeHNTZDRjWUNxc0lVdnZXb0hRZ3h4S1BXZ2dxVg==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2024-04-15T05:52:00Z</dcterms:created>
  <dc:creator>Radka</dc:creator>
</cp:coreProperties>
</file>