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5 k SOD 840/2022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5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2873375</wp:posOffset>
                </wp:positionH>
                <wp:positionV relativeFrom="paragraph">
                  <wp:posOffset>152400</wp:posOffset>
                </wp:positionV>
                <wp:extent cx="1649095" cy="22542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909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smlouvy zhotovitele: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6.25pt;margin-top:12.pt;width:129.84999999999999pt;height:17.7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smlouvy zhotovitele: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smlouvy objednatele: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840/2022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„VT Paličský potok - Dolní Lažany - propustek“ - projektová dokumentace</w:t>
        <w:br/>
        <w:t>(DUSP/DPS)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59" w:lineRule="auto"/>
        <w:ind w:left="0" w:right="0" w:firstLine="0"/>
        <w:jc w:val="left"/>
      </w:pPr>
      <w:r>
        <mc:AlternateContent>
          <mc:Choice Requires="wps">
            <w:drawing>
              <wp:anchor distT="25400" distB="0" distL="114300" distR="114300" simplePos="0" relativeHeight="125829380" behindDoc="0" locked="0" layoutInCell="1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304800</wp:posOffset>
                </wp:positionV>
                <wp:extent cx="804545" cy="23495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0.25pt;margin-top:24.pt;width:63.350000000000001pt;height:18.5pt;z-index:-125829373;mso-wrap-distance-left:9.pt;mso-wrap-distance-top:2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3406775</wp:posOffset>
                </wp:positionH>
                <wp:positionV relativeFrom="paragraph">
                  <wp:posOffset>304800</wp:posOffset>
                </wp:positionV>
                <wp:extent cx="2225040" cy="70993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5040" cy="709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Bezručova 4219, 430 03 Chomutov 70889988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CZ70889988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68.25pt;margin-top:24.pt;width:175.20000000000002pt;height:55.899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Bezručova 4219, 430 03 Chomutov 70889988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CZ70889988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469900</wp:posOffset>
                </wp:positionV>
                <wp:extent cx="368935" cy="54864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8935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0.25pt;margin-top:37.pt;width:29.050000000000001pt;height:43.200000000000003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Tato smlouva byla uzavřena mezi: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 zástupce ve věcech smluvních: oprávněn jednat o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objednatele: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5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  <w:tab/>
        <w:t>Povodí Ohře, státní podnik je zapsán v obchodním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rejstříku Krajského soudu v Ústí nad 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p>
      <w:pPr>
        <w:pStyle w:val="Style12"/>
        <w:keepNext/>
        <w:keepLines/>
        <w:widowControl w:val="0"/>
        <w:shd w:val="clear" w:color="auto" w:fill="auto"/>
        <w:tabs>
          <w:tab w:pos="4219" w:val="left"/>
        </w:tabs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INTERPROJEKT ODPADY, s.r.o.</w:t>
      </w:r>
      <w:bookmarkEnd w:id="0"/>
      <w:bookmarkEnd w:id="1"/>
      <w:bookmarkEnd w:id="2"/>
    </w:p>
    <w:p>
      <w:pPr>
        <w:pStyle w:val="Style12"/>
        <w:keepNext/>
        <w:keepLines/>
        <w:widowControl w:val="0"/>
        <w:shd w:val="clear" w:color="auto" w:fill="auto"/>
        <w:tabs>
          <w:tab w:pos="4219" w:val="left"/>
        </w:tabs>
        <w:bidi w:val="0"/>
        <w:spacing w:before="0" w:after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Heleny Malířové 11, 169 00, Praha 6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 oprávněn(i) jednat o věcech technických: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tabs>
          <w:tab w:pos="421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26473224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1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 26473224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" w:name="bookmark7"/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7"/>
      <w:bookmarkEnd w:id="8"/>
      <w:bookmarkEnd w:id="9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bookmarkStart w:id="10" w:name="bookmark10"/>
      <w:bookmarkStart w:id="11" w:name="bookmark11"/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Městský soud v Praze, v oddíl C, vložka č. 84495, zápis dne 28.9.2001</w:t>
      </w:r>
      <w:bookmarkEnd w:id="10"/>
      <w:bookmarkEnd w:id="11"/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(společně dále jen „smluvní strany“)</w:t>
      </w:r>
      <w:bookmarkEnd w:id="13"/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6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5 k SOD 840/2022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Tento dodatek je uzavírán z důvodu: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nutné koordinace projekčních prací stavebních záměrů několika subjektů v lokalitě plánované rekonstrukce zatrubněné části Paličského potoka. Návrh umístění a tvar nového profilu vodního toku musí být v souladu s návrhem nových komunikací a navazujících stavebních objektů řešených v rámci plánovaných akcí Krajské správy a údržby silnic Karlovarského kraje a Obce Lipová.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Koordinace se týká nejenom technického řešení, ale také součinnosti při realizaci záměrů.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Čl. III. Termín plnění: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TERMÍNY PLNĚNÍ</w:t>
      </w:r>
      <w:bookmarkEnd w:id="15"/>
      <w:bookmarkEnd w:id="16"/>
      <w:bookmarkEnd w:id="1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dílčí termín – předání kompletní PD (2 x tištěné + 1 x elektronicky) po projednání na ZVV: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49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30.05.2025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+ 2 x elektronicky):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dílčí termín – předání kompletní PD (2 x tištěné + 1 x elektronicky) po projednání na ZVV: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49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měsíce od výzvy objednatele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+ 2 x elektronicky):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2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21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5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7" w:val="left"/>
        </w:tabs>
        <w:bidi w:val="0"/>
        <w:spacing w:before="0" w:after="200" w:line="240" w:lineRule="auto"/>
        <w:ind w:left="0" w:right="0" w:firstLine="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7" w:val="left"/>
        </w:tabs>
        <w:bidi w:val="0"/>
        <w:spacing w:before="0" w:after="200" w:line="240" w:lineRule="auto"/>
        <w:ind w:left="380" w:right="0" w:hanging="38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7" w:val="left"/>
        </w:tabs>
        <w:bidi w:val="0"/>
        <w:spacing w:before="0" w:after="200" w:line="240" w:lineRule="auto"/>
        <w:ind w:left="0" w:right="0" w:firstLine="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7" w:val="left"/>
        </w:tabs>
        <w:bidi w:val="0"/>
        <w:spacing w:before="0" w:after="200" w:line="240" w:lineRule="auto"/>
        <w:ind w:left="380" w:right="0" w:hanging="38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2520" w:right="0" w:firstLine="364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657" w:left="1372" w:right="1374" w:bottom="1710" w:header="229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1153160</wp:posOffset>
                </wp:positionH>
                <wp:positionV relativeFrom="margin">
                  <wp:posOffset>234950</wp:posOffset>
                </wp:positionV>
                <wp:extent cx="1167130" cy="228600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713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90.799999999999997pt;margin-top:18.5pt;width:91.900000000000006pt;height:18.pt;z-index:-125829367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 dne: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5 k SOD 840/2022 v Praze dne: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0" w:after="4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57" w:left="0" w:right="0" w:bottom="142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 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INTERPROJEKT ODPADY,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57" w:left="1821" w:right="2229" w:bottom="1420" w:header="0" w:footer="3" w:gutter="0"/>
          <w:cols w:num="2" w:space="1195"/>
          <w:noEndnote/>
          <w:rtlGutter w:val="0"/>
          <w:docGrid w:linePitch="360"/>
        </w:sectPr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57" w:left="1821" w:right="2229" w:bottom="1420" w:header="0" w:footer="3" w:gutter="0"/>
      <w:cols w:num="2" w:space="1195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5997575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72.25pt;margin-top:770.85000000000002pt;width:53.050000000000004pt;height:12.9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9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10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