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9082"/>
      </w:tblGrid>
      <w:tr w:rsidR="008C076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4F7FBA" w:fill="4F7FBA"/>
            <w:vAlign w:val="center"/>
          </w:tcPr>
          <w:p w:rsidR="008C0762" w:rsidRDefault="00C56125">
            <w:pPr>
              <w:ind w:right="149"/>
              <w:jc w:val="right"/>
              <w:rPr>
                <w:rFonts w:ascii="Arial" w:hAnsi="Arial"/>
                <w:b/>
                <w:color w:val="FFFFFF"/>
                <w:w w:val="105"/>
                <w:sz w:val="21"/>
                <w:lang w:val="cs-CZ"/>
              </w:rPr>
            </w:pPr>
            <w:r>
              <w:rPr>
                <w:rFonts w:ascii="Arial" w:hAnsi="Arial"/>
                <w:b/>
                <w:color w:val="FFFFFF"/>
                <w:w w:val="105"/>
                <w:sz w:val="21"/>
                <w:lang w:val="cs-CZ"/>
              </w:rPr>
              <w:t>4</w:t>
            </w:r>
          </w:p>
        </w:tc>
        <w:tc>
          <w:tcPr>
            <w:tcW w:w="90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0762" w:rsidRDefault="00C56125">
            <w:pPr>
              <w:ind w:right="3917"/>
              <w:jc w:val="right"/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 xml:space="preserve">Smlouva o dílo — </w:t>
            </w:r>
            <w:proofErr w:type="spellStart"/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>WiFi</w:t>
            </w:r>
            <w:proofErr w:type="spellEnd"/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 xml:space="preserve"> pokrytí Technické muzeum Pardubického kraje</w:t>
            </w:r>
          </w:p>
        </w:tc>
      </w:tr>
    </w:tbl>
    <w:p w:rsidR="008C0762" w:rsidRDefault="008C0762">
      <w:pPr>
        <w:spacing w:after="312" w:line="20" w:lineRule="exact"/>
      </w:pPr>
    </w:p>
    <w:p w:rsidR="008C0762" w:rsidRDefault="00C56125">
      <w:pPr>
        <w:numPr>
          <w:ilvl w:val="0"/>
          <w:numId w:val="1"/>
        </w:numPr>
        <w:tabs>
          <w:tab w:val="clear" w:pos="288"/>
          <w:tab w:val="decimal" w:pos="1728"/>
        </w:tabs>
        <w:ind w:left="1440"/>
        <w:rPr>
          <w:rFonts w:ascii="Tahoma" w:hAnsi="Tahoma"/>
          <w:b/>
          <w:color w:val="2D5184"/>
          <w:spacing w:val="14"/>
          <w:lang w:val="cs-CZ"/>
        </w:rPr>
      </w:pPr>
      <w:r>
        <w:rPr>
          <w:rFonts w:ascii="Tahoma" w:hAnsi="Tahoma"/>
          <w:b/>
          <w:color w:val="2D5184"/>
          <w:spacing w:val="14"/>
          <w:lang w:val="cs-CZ"/>
        </w:rPr>
        <w:t>Přechod vlastnického práva</w:t>
      </w:r>
    </w:p>
    <w:p w:rsidR="008C0762" w:rsidRDefault="00C56125">
      <w:pPr>
        <w:spacing w:before="108" w:line="295" w:lineRule="auto"/>
        <w:ind w:left="136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9.1. Zhotovitel si vyhrazuje vlastnické právo k Dílu a jeho částem až do úpl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ného zaplacení Ceny Díla. </w:t>
      </w:r>
      <w:r>
        <w:rPr>
          <w:rFonts w:ascii="Verdana" w:hAnsi="Verdana"/>
          <w:color w:val="000000"/>
          <w:spacing w:val="-2"/>
          <w:sz w:val="18"/>
          <w:lang w:val="cs-CZ"/>
        </w:rPr>
        <w:t>Vlastnické právo přechází na Objednatele až okamžikem úpl</w:t>
      </w:r>
      <w:r>
        <w:rPr>
          <w:rFonts w:ascii="Verdana" w:hAnsi="Verdana"/>
          <w:color w:val="000000"/>
          <w:spacing w:val="-2"/>
          <w:sz w:val="18"/>
          <w:lang w:val="cs-CZ"/>
        </w:rPr>
        <w:t>ného zaplacení celé Ceny Díla.</w:t>
      </w:r>
    </w:p>
    <w:p w:rsidR="008C0762" w:rsidRDefault="00C56125">
      <w:pPr>
        <w:numPr>
          <w:ilvl w:val="0"/>
          <w:numId w:val="1"/>
        </w:numPr>
        <w:tabs>
          <w:tab w:val="decimal" w:pos="2016"/>
        </w:tabs>
        <w:spacing w:before="468"/>
        <w:ind w:left="1440"/>
        <w:rPr>
          <w:rFonts w:ascii="Tahoma" w:hAnsi="Tahoma"/>
          <w:b/>
          <w:color w:val="2D5184"/>
          <w:spacing w:val="26"/>
          <w:lang w:val="cs-CZ"/>
        </w:rPr>
      </w:pPr>
      <w:r>
        <w:rPr>
          <w:rFonts w:ascii="Tahoma" w:hAnsi="Tahoma"/>
          <w:b/>
          <w:color w:val="2D5184"/>
          <w:spacing w:val="26"/>
          <w:lang w:val="cs-CZ"/>
        </w:rPr>
        <w:t>Odpovědnost za škodu</w:t>
      </w:r>
    </w:p>
    <w:p w:rsidR="008C0762" w:rsidRDefault="00C56125">
      <w:pPr>
        <w:spacing w:before="180" w:line="295" w:lineRule="auto"/>
        <w:ind w:left="136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10.1. Zhotovitel pl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ně odpovídá Objednateli za jakoukoliv škodu způsobenou Zhotovitelem Objednateli </w:t>
      </w:r>
      <w:r>
        <w:rPr>
          <w:rFonts w:ascii="Verdana" w:hAnsi="Verdana"/>
          <w:color w:val="000000"/>
          <w:spacing w:val="-1"/>
          <w:sz w:val="18"/>
          <w:lang w:val="cs-CZ"/>
        </w:rPr>
        <w:t>jakýmkoliv porušením povinnosti Zhotovitele uvedené v této Smlouvě.</w:t>
      </w:r>
    </w:p>
    <w:p w:rsidR="008C0762" w:rsidRDefault="00C56125">
      <w:pPr>
        <w:numPr>
          <w:ilvl w:val="0"/>
          <w:numId w:val="1"/>
        </w:numPr>
        <w:tabs>
          <w:tab w:val="decimal" w:pos="2016"/>
        </w:tabs>
        <w:spacing w:before="468"/>
        <w:ind w:left="1440"/>
        <w:rPr>
          <w:rFonts w:ascii="Tahoma" w:hAnsi="Tahoma"/>
          <w:b/>
          <w:color w:val="2D5184"/>
          <w:spacing w:val="24"/>
          <w:lang w:val="cs-CZ"/>
        </w:rPr>
      </w:pPr>
      <w:r>
        <w:rPr>
          <w:rFonts w:ascii="Tahoma" w:hAnsi="Tahoma"/>
          <w:b/>
          <w:color w:val="2D5184"/>
          <w:spacing w:val="24"/>
          <w:lang w:val="cs-CZ"/>
        </w:rPr>
        <w:t>Přechod nebezpečí škody</w:t>
      </w:r>
    </w:p>
    <w:p w:rsidR="008C0762" w:rsidRDefault="00C56125">
      <w:pPr>
        <w:spacing w:before="144" w:line="295" w:lineRule="auto"/>
        <w:ind w:left="1368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11.1. Nebezpečí škody na Díle přechází ze Zhotovitele na Objednatele okamžikem předání Díla, potvrzeným oběma Stranami v předávacím protokolu.</w:t>
      </w:r>
    </w:p>
    <w:p w:rsidR="008C0762" w:rsidRDefault="00C56125">
      <w:pPr>
        <w:spacing w:before="288" w:line="295" w:lineRule="auto"/>
        <w:ind w:left="136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11.2. Do doby p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ředání Díla nese nebezpečí škody na Díle Zhotovitel, s výjimkou případů, kdy ke škodě </w:t>
      </w:r>
      <w:r>
        <w:rPr>
          <w:rFonts w:ascii="Verdana" w:hAnsi="Verdana"/>
          <w:color w:val="000000"/>
          <w:spacing w:val="-1"/>
          <w:sz w:val="18"/>
          <w:lang w:val="cs-CZ"/>
        </w:rPr>
        <w:t>dojde v důsledku jednání nebo opomenutí Objednatele.</w:t>
      </w:r>
    </w:p>
    <w:p w:rsidR="008C0762" w:rsidRDefault="00C56125">
      <w:pPr>
        <w:numPr>
          <w:ilvl w:val="0"/>
          <w:numId w:val="1"/>
        </w:numPr>
        <w:tabs>
          <w:tab w:val="decimal" w:pos="2016"/>
        </w:tabs>
        <w:spacing w:before="468"/>
        <w:ind w:left="1440"/>
        <w:rPr>
          <w:rFonts w:ascii="Tahoma" w:hAnsi="Tahoma"/>
          <w:b/>
          <w:color w:val="2D5184"/>
          <w:spacing w:val="24"/>
          <w:lang w:val="cs-CZ"/>
        </w:rPr>
      </w:pPr>
      <w:r>
        <w:rPr>
          <w:rFonts w:ascii="Tahoma" w:hAnsi="Tahoma"/>
          <w:b/>
          <w:color w:val="2D5184"/>
          <w:spacing w:val="24"/>
          <w:lang w:val="cs-CZ"/>
        </w:rPr>
        <w:t>Odstoupení od Smlouvy</w:t>
      </w:r>
    </w:p>
    <w:p w:rsidR="008C0762" w:rsidRDefault="00C56125" w:rsidP="00C56125">
      <w:pPr>
        <w:spacing w:before="180" w:line="592" w:lineRule="auto"/>
        <w:ind w:left="1368" w:firstLine="4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12.1. Objednatel má právo od této Smlouvy odstoupit v p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řípadě, že: </w:t>
      </w:r>
      <w:r>
        <w:rPr>
          <w:rFonts w:ascii="Verdana" w:hAnsi="Verdana"/>
          <w:color w:val="000000"/>
          <w:spacing w:val="-2"/>
          <w:sz w:val="18"/>
          <w:lang w:val="cs-CZ"/>
        </w:rPr>
        <w:br/>
      </w:r>
      <w:r>
        <w:rPr>
          <w:rFonts w:ascii="Verdana" w:hAnsi="Verdana"/>
          <w:color w:val="000000"/>
          <w:spacing w:val="-2"/>
          <w:sz w:val="18"/>
          <w:lang w:val="cs-CZ"/>
        </w:rPr>
        <w:t>12.1.1. Zhotovitel je v pr</w:t>
      </w:r>
      <w:r>
        <w:rPr>
          <w:rFonts w:ascii="Verdana" w:hAnsi="Verdana"/>
          <w:color w:val="000000"/>
          <w:spacing w:val="-2"/>
          <w:sz w:val="18"/>
          <w:lang w:val="cs-CZ"/>
        </w:rPr>
        <w:t>odlení s provedením Díla delším než 30 dní.</w:t>
      </w:r>
      <w:bookmarkStart w:id="0" w:name="_GoBack"/>
      <w:bookmarkEnd w:id="0"/>
    </w:p>
    <w:p w:rsidR="008C0762" w:rsidRDefault="00C56125">
      <w:pPr>
        <w:spacing w:before="216" w:line="295" w:lineRule="auto"/>
        <w:ind w:left="1368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12.1.2. Zhotovitel vstoupí do likvidace nebo bude na jeho majetek prohlášen soudem konkurz nebo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bude zamítnut návrh na vyhlášení konkurzu pro nedostatek majetku nebo zanikne bez likvidace a/nebo </w:t>
      </w:r>
      <w:r>
        <w:rPr>
          <w:rFonts w:ascii="Verdana" w:hAnsi="Verdana"/>
          <w:color w:val="000000"/>
          <w:spacing w:val="-1"/>
          <w:sz w:val="18"/>
          <w:lang w:val="cs-CZ"/>
        </w:rPr>
        <w:t>bude soudem prohlášen úpadek Zhotovitele a/nebo Zhotovitel vstoupí do insolvence.</w:t>
      </w:r>
    </w:p>
    <w:p w:rsidR="008C0762" w:rsidRDefault="00C56125">
      <w:pPr>
        <w:spacing w:before="180" w:line="295" w:lineRule="auto"/>
        <w:ind w:left="1368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12.1.3. Zhotovitelem oznámené okolnosti vyšší moci trvají déle než 30 dní a Smluvní strany se nedohodnou jinak.</w:t>
      </w:r>
    </w:p>
    <w:p w:rsidR="008C0762" w:rsidRDefault="00C56125">
      <w:pPr>
        <w:spacing w:before="216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12.2. Zhotovitel má právo od této Smlouvy odstoupit v případě,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 že:</w:t>
      </w:r>
    </w:p>
    <w:p w:rsidR="008C0762" w:rsidRDefault="00C56125" w:rsidP="00C56125">
      <w:pPr>
        <w:spacing w:before="252" w:line="295" w:lineRule="auto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12.2.1. Objednatel je v prodlení se zaplacením Ceny nebo její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části delším než 30 kalendářních dnů od </w:t>
      </w:r>
      <w:r>
        <w:rPr>
          <w:rFonts w:ascii="Verdana" w:hAnsi="Verdana"/>
          <w:color w:val="000000"/>
          <w:spacing w:val="-4"/>
          <w:sz w:val="18"/>
          <w:lang w:val="cs-CZ"/>
        </w:rPr>
        <w:t>data splatnosti faktury, a nesjedná nápravu ani ve lhůtě 10 dnů od doručení písemné výzvy Zhotovitele.</w:t>
      </w:r>
    </w:p>
    <w:p w:rsidR="008C0762" w:rsidRDefault="00C56125">
      <w:pPr>
        <w:spacing w:before="252" w:line="295" w:lineRule="auto"/>
        <w:ind w:left="1368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12.2.2. Objednatel vstoupí do likvidace nebo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 bude na jeho majetek prohlášen soudem konkurz nebo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bude zamítnut návrh na vyhlášení konkurzu pro nedostatek majetku nebo zanikne bez likvidace a/nebo </w:t>
      </w:r>
      <w:r>
        <w:rPr>
          <w:rFonts w:ascii="Verdana" w:hAnsi="Verdana"/>
          <w:color w:val="000000"/>
          <w:spacing w:val="-1"/>
          <w:sz w:val="18"/>
          <w:lang w:val="cs-CZ"/>
        </w:rPr>
        <w:t>bude soudem prohlášen úpadek Objednatel a/nebo Objednatel vstoupí do insolvence.</w:t>
      </w:r>
    </w:p>
    <w:p w:rsidR="008C0762" w:rsidRDefault="00C56125">
      <w:pPr>
        <w:spacing w:before="288" w:line="295" w:lineRule="auto"/>
        <w:ind w:left="1368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12.2.3. Objednatelem ozn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ámené okolnosti vyšší moci trvají déle než 30 dní a Smluvní strany se </w:t>
      </w:r>
      <w:r>
        <w:rPr>
          <w:rFonts w:ascii="Verdana" w:hAnsi="Verdana"/>
          <w:color w:val="000000"/>
          <w:sz w:val="18"/>
          <w:lang w:val="cs-CZ"/>
        </w:rPr>
        <w:t>nedohodnou jinak.</w:t>
      </w:r>
    </w:p>
    <w:p w:rsidR="008C0762" w:rsidRDefault="00C56125">
      <w:pPr>
        <w:spacing w:before="216" w:line="295" w:lineRule="auto"/>
        <w:ind w:left="1368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12.3. Kterákoliv Smluvní strana má právo odstoupit od této Smlouvy i z kteréhokoliv zákonného důvodu.</w:t>
      </w:r>
    </w:p>
    <w:p w:rsidR="008C0762" w:rsidRDefault="00C56125">
      <w:pPr>
        <w:spacing w:before="216" w:line="588" w:lineRule="auto"/>
        <w:ind w:left="1368" w:right="432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12.4. Odstoupení je účinné doručením písemného oznámení o odstoupe</w:t>
      </w:r>
      <w:r>
        <w:rPr>
          <w:rFonts w:ascii="Verdana" w:hAnsi="Verdana"/>
          <w:color w:val="000000"/>
          <w:spacing w:val="-2"/>
          <w:sz w:val="18"/>
          <w:lang w:val="cs-CZ"/>
        </w:rPr>
        <w:t>ní druhé Smluvní straně. 12.5. V případě odstoupení jsou Smluvní strany povinny vrátit si vzájemně poskytnutá pl</w:t>
      </w:r>
      <w:r>
        <w:rPr>
          <w:rFonts w:ascii="Verdana" w:hAnsi="Verdana"/>
          <w:color w:val="000000"/>
          <w:spacing w:val="-2"/>
          <w:sz w:val="18"/>
          <w:lang w:val="cs-CZ"/>
        </w:rPr>
        <w:t>nění.</w:t>
      </w:r>
    </w:p>
    <w:p w:rsidR="008C0762" w:rsidRDefault="00C56125">
      <w:pPr>
        <w:spacing w:before="216" w:line="295" w:lineRule="auto"/>
        <w:ind w:left="1368"/>
        <w:jc w:val="both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12.6. V případě odstoupení od Smlouvy ze strany Objednatele po částečném provedení Díla má </w:t>
      </w:r>
      <w:r>
        <w:rPr>
          <w:rFonts w:ascii="Verdana" w:hAnsi="Verdana"/>
          <w:color w:val="000000"/>
          <w:spacing w:val="-5"/>
          <w:sz w:val="18"/>
          <w:lang w:val="cs-CZ"/>
        </w:rPr>
        <w:t>Zhotovitel nárok na úhradu poměrné části Ceny o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dpovídající rozsahu již provedeného Díla a na náhradu </w:t>
      </w:r>
      <w:r>
        <w:rPr>
          <w:rFonts w:ascii="Verdana" w:hAnsi="Verdana"/>
          <w:color w:val="000000"/>
          <w:spacing w:val="-2"/>
          <w:sz w:val="18"/>
          <w:lang w:val="cs-CZ"/>
        </w:rPr>
        <w:t>účelně vynaložených nákladů.</w:t>
      </w:r>
    </w:p>
    <w:p w:rsidR="008C0762" w:rsidRDefault="00C56125">
      <w:pPr>
        <w:spacing w:before="252"/>
        <w:ind w:left="2304"/>
        <w:rPr>
          <w:rFonts w:ascii="Tahoma" w:hAnsi="Tahoma"/>
          <w:b/>
          <w:color w:val="000000"/>
          <w:spacing w:val="-1"/>
          <w:sz w:val="14"/>
          <w:lang w:val="cs-CZ"/>
        </w:rPr>
      </w:pPr>
      <w:r>
        <w:rPr>
          <w:rFonts w:ascii="Tahoma" w:hAnsi="Tahoma"/>
          <w:b/>
          <w:color w:val="000000"/>
          <w:spacing w:val="-1"/>
          <w:sz w:val="14"/>
          <w:lang w:val="cs-CZ"/>
        </w:rPr>
        <w:t xml:space="preserve">Computer services s.r.o. </w:t>
      </w:r>
      <w:r>
        <w:rPr>
          <w:rFonts w:ascii="Verdana" w:hAnsi="Verdana"/>
          <w:color w:val="000000"/>
          <w:spacing w:val="-1"/>
          <w:sz w:val="15"/>
          <w:lang w:val="cs-CZ"/>
        </w:rPr>
        <w:t xml:space="preserve"> Prokopa Velikého 331/IV 1566 01 Vysoké Mýto </w:t>
      </w:r>
    </w:p>
    <w:p w:rsidR="008C0762" w:rsidRDefault="00C56125">
      <w:pPr>
        <w:tabs>
          <w:tab w:val="left" w:pos="4032"/>
          <w:tab w:val="right" w:pos="10200"/>
        </w:tabs>
        <w:spacing w:line="278" w:lineRule="auto"/>
        <w:ind w:left="2304"/>
        <w:rPr>
          <w:rFonts w:ascii="Verdana" w:hAnsi="Verdana"/>
          <w:color w:val="000000"/>
          <w:spacing w:val="-10"/>
          <w:sz w:val="15"/>
          <w:lang w:val="cs-CZ"/>
        </w:rPr>
      </w:pPr>
      <w:r>
        <w:rPr>
          <w:rFonts w:ascii="Verdana" w:hAnsi="Verdana"/>
          <w:color w:val="000000"/>
          <w:spacing w:val="-10"/>
          <w:sz w:val="15"/>
          <w:lang w:val="cs-CZ"/>
        </w:rPr>
        <w:t>tel.: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tel:</w:t>
      </w:r>
      <w:r>
        <w:rPr>
          <w:rFonts w:ascii="Verdana" w:hAnsi="Verdana"/>
          <w:color w:val="000000"/>
          <w:spacing w:val="-8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 xml:space="preserve"> IČ: 09019154, DI</w:t>
      </w:r>
      <w:r>
        <w:rPr>
          <w:rFonts w:ascii="Verdana" w:hAnsi="Verdana"/>
          <w:color w:val="000000"/>
          <w:spacing w:val="-8"/>
          <w:sz w:val="15"/>
          <w:lang w:val="cs-CZ"/>
        </w:rPr>
        <w:t>Č: CZ090191541</w:t>
      </w:r>
    </w:p>
    <w:sectPr w:rsidR="008C0762">
      <w:pgSz w:w="11918" w:h="16854"/>
      <w:pgMar w:top="266" w:right="665" w:bottom="458" w:left="7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5072"/>
    <w:multiLevelType w:val="multilevel"/>
    <w:tmpl w:val="D0303BA0"/>
    <w:lvl w:ilvl="0">
      <w:start w:val="9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2D5184"/>
        <w:spacing w:val="1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762"/>
    <w:rsid w:val="008C0762"/>
    <w:rsid w:val="00C5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0615"/>
  <w15:docId w15:val="{A2A809DE-74C4-45E7-BF99-8391A5EC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2025-06-03T09:30:00Z</dcterms:created>
  <dcterms:modified xsi:type="dcterms:W3CDTF">2025-06-03T09:31:00Z</dcterms:modified>
</cp:coreProperties>
</file>