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1F" w:rsidRDefault="00EB61DE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68.9pt;width:510.25pt;height:20.6pt;z-index:-251658752;mso-wrap-distance-left:0;mso-wrap-distance-right:0" filled="f" stroked="f">
            <v:textbox inset="0,0,0,0">
              <w:txbxContent>
                <w:p w:rsidR="00CE371F" w:rsidRDefault="00EB61DE">
                  <w:pPr>
                    <w:ind w:left="2304"/>
                    <w:rPr>
                      <w:rFonts w:ascii="Tahoma" w:hAnsi="Tahoma"/>
                      <w:b/>
                      <w:color w:val="000000"/>
                      <w:spacing w:val="-2"/>
                      <w:w w:val="105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w w:val="105"/>
                      <w:sz w:val="14"/>
                      <w:lang w:val="cs-CZ"/>
                    </w:rPr>
                    <w:t xml:space="preserve">Computer services s.r.o.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 xml:space="preserve"> Prokopa Velikého 331/IV 1566 01 Vysoké Mýto </w:t>
                  </w:r>
                </w:p>
                <w:p w:rsidR="00CE371F" w:rsidRDefault="00EB61DE">
                  <w:pPr>
                    <w:tabs>
                      <w:tab w:val="left" w:pos="4032"/>
                      <w:tab w:val="right" w:pos="10200"/>
                    </w:tabs>
                    <w:spacing w:line="278" w:lineRule="auto"/>
                    <w:ind w:left="2304"/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tel.: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tel: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 xml:space="preserve"> IČ: 09019154, DI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Č: CZ090191541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8702"/>
      </w:tblGrid>
      <w:tr w:rsidR="00CE37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5180B9" w:fill="5180B9"/>
            <w:vAlign w:val="center"/>
          </w:tcPr>
          <w:p w:rsidR="00CE371F" w:rsidRDefault="00EB61DE">
            <w:pPr>
              <w:ind w:right="154"/>
              <w:jc w:val="right"/>
              <w:rPr>
                <w:rFonts w:ascii="Arial" w:hAnsi="Arial"/>
                <w:color w:val="FFFFFF"/>
                <w:w w:val="170"/>
                <w:sz w:val="21"/>
                <w:lang w:val="cs-CZ"/>
              </w:rPr>
            </w:pPr>
            <w:r>
              <w:rPr>
                <w:rFonts w:ascii="Arial" w:hAnsi="Arial"/>
                <w:color w:val="FFFFFF"/>
                <w:w w:val="170"/>
                <w:sz w:val="21"/>
                <w:lang w:val="cs-CZ"/>
              </w:rPr>
              <w:t>1</w:t>
            </w:r>
          </w:p>
        </w:tc>
        <w:tc>
          <w:tcPr>
            <w:tcW w:w="8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E371F" w:rsidRDefault="00EB61DE">
            <w:pPr>
              <w:ind w:right="3537"/>
              <w:jc w:val="right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Smlouva o dílo — </w:t>
            </w:r>
            <w:proofErr w:type="spellStart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WiFi</w:t>
            </w:r>
            <w:proofErr w:type="spellEnd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 pokrytí Technické muzeum Pardubického kraje</w:t>
            </w:r>
          </w:p>
        </w:tc>
      </w:tr>
    </w:tbl>
    <w:p w:rsidR="00CE371F" w:rsidRDefault="00CE371F">
      <w:pPr>
        <w:spacing w:after="2563" w:line="20" w:lineRule="exact"/>
      </w:pPr>
      <w:bookmarkStart w:id="0" w:name="_GoBack"/>
      <w:bookmarkEnd w:id="0"/>
    </w:p>
    <w:p w:rsidR="00CE371F" w:rsidRDefault="00EB61DE">
      <w:pPr>
        <w:spacing w:after="72" w:line="204" w:lineRule="auto"/>
        <w:ind w:left="4176"/>
        <w:rPr>
          <w:rFonts w:ascii="Tahoma" w:hAnsi="Tahoma"/>
          <w:b/>
          <w:color w:val="000000"/>
          <w:w w:val="95"/>
          <w:sz w:val="47"/>
          <w:lang w:val="cs-CZ"/>
        </w:rPr>
      </w:pPr>
      <w:r>
        <w:rPr>
          <w:rFonts w:ascii="Tahoma" w:hAnsi="Tahoma"/>
          <w:b/>
          <w:color w:val="000000"/>
          <w:w w:val="95"/>
          <w:sz w:val="47"/>
          <w:lang w:val="cs-CZ"/>
        </w:rPr>
        <w:t>Smlouva o dílo</w:t>
      </w:r>
    </w:p>
    <w:p w:rsidR="00CE371F" w:rsidRDefault="00EB61DE">
      <w:pPr>
        <w:spacing w:line="283" w:lineRule="auto"/>
        <w:ind w:left="1728"/>
        <w:jc w:val="center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uzav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řená ve smyslu ustanovení § 2586 a násl. zákona č. 89/2012 Sb., občanského zákoníku, </w:t>
      </w:r>
      <w:r>
        <w:rPr>
          <w:rFonts w:ascii="Verdana" w:hAnsi="Verdana"/>
          <w:color w:val="000000"/>
          <w:spacing w:val="-3"/>
          <w:sz w:val="18"/>
          <w:lang w:val="cs-CZ"/>
        </w:rPr>
        <w:br/>
        <w:t xml:space="preserve">v platném znění (dále jen </w:t>
      </w:r>
      <w:r>
        <w:rPr>
          <w:rFonts w:ascii="Verdana" w:hAnsi="Verdana"/>
          <w:i/>
          <w:color w:val="000000"/>
          <w:spacing w:val="-3"/>
          <w:sz w:val="19"/>
          <w:lang w:val="cs-CZ"/>
        </w:rPr>
        <w:t>„smlouva")</w:t>
      </w:r>
    </w:p>
    <w:p w:rsidR="00CE371F" w:rsidRDefault="00EB61DE">
      <w:pPr>
        <w:spacing w:before="2376"/>
        <w:ind w:left="1368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Smluvní strany:</w:t>
      </w:r>
    </w:p>
    <w:p w:rsidR="00CE371F" w:rsidRDefault="00EB61DE">
      <w:pPr>
        <w:spacing w:before="324" w:line="280" w:lineRule="auto"/>
        <w:ind w:left="1368" w:right="5184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Regionální muzeum ve Vysokém Mýtě </w:t>
      </w:r>
      <w:r>
        <w:rPr>
          <w:rFonts w:ascii="Verdana" w:hAnsi="Verdana"/>
          <w:color w:val="000000"/>
          <w:spacing w:val="-4"/>
          <w:sz w:val="18"/>
          <w:lang w:val="cs-CZ"/>
        </w:rPr>
        <w:t>A. V. Šembery 125</w:t>
      </w:r>
    </w:p>
    <w:p w:rsidR="00CE371F" w:rsidRDefault="00EB61DE">
      <w:pPr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566 01 Vysoké Mýto</w:t>
      </w:r>
    </w:p>
    <w:p w:rsidR="00CE371F" w:rsidRDefault="00EB61DE">
      <w:pPr>
        <w:spacing w:before="72"/>
        <w:ind w:left="1368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IČO: 00372331</w:t>
      </w:r>
    </w:p>
    <w:p w:rsidR="00CE371F" w:rsidRDefault="00EB61DE">
      <w:pPr>
        <w:spacing w:before="324"/>
        <w:ind w:left="1368"/>
        <w:rPr>
          <w:rFonts w:ascii="Verdana" w:hAnsi="Verdana"/>
          <w:i/>
          <w:color w:val="000000"/>
          <w:sz w:val="18"/>
          <w:lang w:val="cs-CZ"/>
        </w:rPr>
      </w:pPr>
      <w:r>
        <w:rPr>
          <w:rFonts w:ascii="Verdana" w:hAnsi="Verdana"/>
          <w:i/>
          <w:color w:val="000000"/>
          <w:sz w:val="18"/>
          <w:lang w:val="cs-CZ"/>
        </w:rPr>
        <w:t>(dále jen „odb</w:t>
      </w:r>
      <w:r>
        <w:rPr>
          <w:rFonts w:ascii="Verdana" w:hAnsi="Verdana"/>
          <w:i/>
          <w:color w:val="000000"/>
          <w:sz w:val="18"/>
          <w:lang w:val="cs-CZ"/>
        </w:rPr>
        <w:t>ěratel" nebo „zákazník")</w:t>
      </w:r>
    </w:p>
    <w:p w:rsidR="00CE371F" w:rsidRDefault="00EB61DE">
      <w:pPr>
        <w:spacing w:before="576"/>
        <w:ind w:left="1368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Computer Services s.r.o.</w:t>
      </w:r>
    </w:p>
    <w:p w:rsidR="00CE371F" w:rsidRDefault="00EB61DE">
      <w:pPr>
        <w:spacing w:before="36"/>
        <w:ind w:left="136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IČO: 09019154</w:t>
      </w:r>
    </w:p>
    <w:p w:rsidR="00CE371F" w:rsidRDefault="00EB61DE">
      <w:pPr>
        <w:spacing w:before="72" w:line="295" w:lineRule="auto"/>
        <w:ind w:left="1368" w:right="172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se sídlem Prokopa Velikého 331, 566 01 Vysoké Mýto — Litomyšlské předměstí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vedená u Krajského soudu v Hradci Králové,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sp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>. zn. C 45493</w:t>
      </w:r>
    </w:p>
    <w:p w:rsidR="00CE371F" w:rsidRDefault="00EB61DE">
      <w:pPr>
        <w:spacing w:before="36" w:line="204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číslo účtu:</w:t>
      </w:r>
    </w:p>
    <w:p w:rsidR="00CE371F" w:rsidRDefault="00EB61DE">
      <w:pPr>
        <w:spacing w:before="72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jednající osoba: Ing. Jan Brož, jednatel</w:t>
      </w:r>
    </w:p>
    <w:p w:rsidR="00CE371F" w:rsidRDefault="00EB61DE">
      <w:pPr>
        <w:spacing w:before="216"/>
        <w:ind w:left="1368"/>
        <w:rPr>
          <w:rFonts w:ascii="Verdana" w:hAnsi="Verdana"/>
          <w:i/>
          <w:color w:val="000000"/>
          <w:sz w:val="18"/>
          <w:lang w:val="cs-CZ"/>
        </w:rPr>
      </w:pPr>
      <w:r>
        <w:rPr>
          <w:rFonts w:ascii="Verdana" w:hAnsi="Verdana"/>
          <w:i/>
          <w:color w:val="000000"/>
          <w:sz w:val="18"/>
          <w:lang w:val="cs-CZ"/>
        </w:rPr>
        <w:t>(dále jen „dodavatel" nebo „zhotovitel")</w:t>
      </w:r>
    </w:p>
    <w:sectPr w:rsidR="00CE371F">
      <w:pgSz w:w="11918" w:h="16854"/>
      <w:pgMar w:top="266" w:right="922" w:bottom="880" w:left="8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71F"/>
    <w:rsid w:val="00CE371F"/>
    <w:rsid w:val="00E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A847AF"/>
  <w15:docId w15:val="{DF7652C1-7C47-45F8-9128-5791165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2025-06-03T09:27:00Z</dcterms:created>
  <dcterms:modified xsi:type="dcterms:W3CDTF">2025-06-03T09:28:00Z</dcterms:modified>
</cp:coreProperties>
</file>