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50E0" w14:textId="77777777" w:rsidR="005E590E" w:rsidRDefault="000A2085">
      <w:pPr>
        <w:spacing w:before="60"/>
        <w:ind w:left="2084" w:right="2414"/>
        <w:jc w:val="center"/>
        <w:rPr>
          <w:rFonts w:ascii="Arial" w:hAnsi="Arial"/>
          <w:b/>
          <w:sz w:val="32"/>
        </w:rPr>
      </w:pPr>
      <w:bookmarkStart w:id="0" w:name="KE_SMLOUVĚ_O_POSKYTNUTÍ_FINANČNÍHO_BONUS"/>
      <w:bookmarkEnd w:id="0"/>
      <w:r>
        <w:rPr>
          <w:rFonts w:ascii="Arial" w:hAnsi="Arial"/>
          <w:b/>
          <w:color w:val="221F1F"/>
          <w:sz w:val="32"/>
        </w:rPr>
        <w:t>DODATEK Č. 3</w:t>
      </w:r>
    </w:p>
    <w:p w14:paraId="7DCC9BA8" w14:textId="77777777" w:rsidR="005E590E" w:rsidRDefault="000A2085">
      <w:pPr>
        <w:pStyle w:val="Nadpis1"/>
        <w:spacing w:before="117"/>
        <w:ind w:left="2084" w:right="2424"/>
        <w:jc w:val="center"/>
      </w:pPr>
      <w:r>
        <w:rPr>
          <w:color w:val="221F1F"/>
        </w:rPr>
        <w:t>KE SMLOUVĚ O POSKYTNUTÍ FINANČNÍHO BONUSU</w:t>
      </w:r>
    </w:p>
    <w:p w14:paraId="2D7C66A8" w14:textId="77777777" w:rsidR="005E590E" w:rsidRDefault="000A2085">
      <w:pPr>
        <w:ind w:left="2084" w:right="2424"/>
        <w:jc w:val="center"/>
        <w:rPr>
          <w:rFonts w:ascii="Arial" w:hAnsi="Arial"/>
          <w:sz w:val="20"/>
        </w:rPr>
      </w:pPr>
      <w:r>
        <w:rPr>
          <w:rFonts w:ascii="Arial" w:hAnsi="Arial"/>
          <w:color w:val="221F1F"/>
          <w:sz w:val="20"/>
        </w:rPr>
        <w:t>(„</w:t>
      </w:r>
      <w:r>
        <w:rPr>
          <w:rFonts w:ascii="Arial" w:hAnsi="Arial"/>
          <w:b/>
          <w:color w:val="221F1F"/>
          <w:sz w:val="20"/>
        </w:rPr>
        <w:t>Dodatek</w:t>
      </w:r>
      <w:r>
        <w:rPr>
          <w:rFonts w:ascii="Arial" w:hAnsi="Arial"/>
          <w:color w:val="221F1F"/>
          <w:sz w:val="20"/>
        </w:rPr>
        <w:t>“)</w:t>
      </w:r>
    </w:p>
    <w:p w14:paraId="187B00CB" w14:textId="77777777" w:rsidR="005E590E" w:rsidRDefault="005E590E">
      <w:pPr>
        <w:pStyle w:val="Zkladntext"/>
      </w:pPr>
    </w:p>
    <w:p w14:paraId="41DA2358" w14:textId="77777777" w:rsidR="005E590E" w:rsidRDefault="005E590E">
      <w:pPr>
        <w:pStyle w:val="Zkladntext"/>
        <w:spacing w:before="9"/>
        <w:rPr>
          <w:sz w:val="21"/>
        </w:rPr>
      </w:pPr>
    </w:p>
    <w:p w14:paraId="688AB844" w14:textId="77777777" w:rsidR="005E590E" w:rsidRDefault="000A2085">
      <w:pPr>
        <w:pStyle w:val="Nadpis1"/>
        <w:spacing w:before="1"/>
        <w:ind w:left="118"/>
      </w:pPr>
      <w:bookmarkStart w:id="1" w:name="SMLUVNÍ_STRANY"/>
      <w:bookmarkEnd w:id="1"/>
      <w:r>
        <w:rPr>
          <w:color w:val="221F1F"/>
        </w:rPr>
        <w:t>SMLUVNÍ STRANY</w:t>
      </w:r>
    </w:p>
    <w:p w14:paraId="2CCBE59E" w14:textId="77777777" w:rsidR="005E590E" w:rsidRDefault="005E590E">
      <w:pPr>
        <w:pStyle w:val="Zkladntext"/>
        <w:spacing w:before="10"/>
        <w:rPr>
          <w:b/>
        </w:rPr>
      </w:pPr>
    </w:p>
    <w:p w14:paraId="25349ADE" w14:textId="77777777" w:rsidR="005E590E" w:rsidRDefault="000A2085">
      <w:pPr>
        <w:pStyle w:val="Odstavecseseznamem"/>
        <w:numPr>
          <w:ilvl w:val="0"/>
          <w:numId w:val="2"/>
        </w:numPr>
        <w:tabs>
          <w:tab w:val="left" w:pos="684"/>
          <w:tab w:val="left" w:pos="685"/>
        </w:tabs>
        <w:spacing w:before="0"/>
        <w:rPr>
          <w:b/>
          <w:sz w:val="20"/>
        </w:rPr>
      </w:pPr>
      <w:r>
        <w:rPr>
          <w:b/>
          <w:color w:val="221F1F"/>
          <w:sz w:val="20"/>
        </w:rPr>
        <w:t xml:space="preserve">Boston </w:t>
      </w:r>
      <w:proofErr w:type="spellStart"/>
      <w:r>
        <w:rPr>
          <w:b/>
          <w:color w:val="221F1F"/>
          <w:sz w:val="20"/>
        </w:rPr>
        <w:t>Scientific</w:t>
      </w:r>
      <w:proofErr w:type="spellEnd"/>
      <w:r>
        <w:rPr>
          <w:b/>
          <w:color w:val="221F1F"/>
          <w:sz w:val="20"/>
        </w:rPr>
        <w:t xml:space="preserve"> Česká republika</w:t>
      </w:r>
      <w:r>
        <w:rPr>
          <w:b/>
          <w:color w:val="221F1F"/>
          <w:spacing w:val="-36"/>
          <w:sz w:val="20"/>
        </w:rPr>
        <w:t xml:space="preserve"> </w:t>
      </w:r>
      <w:r>
        <w:rPr>
          <w:b/>
          <w:color w:val="221F1F"/>
          <w:spacing w:val="-3"/>
          <w:sz w:val="20"/>
        </w:rPr>
        <w:t>s.r.o.</w:t>
      </w:r>
    </w:p>
    <w:p w14:paraId="6E260086" w14:textId="77777777" w:rsidR="005E590E" w:rsidRDefault="000A2085">
      <w:pPr>
        <w:pStyle w:val="Zkladntext"/>
        <w:spacing w:before="118"/>
        <w:ind w:left="682"/>
      </w:pPr>
      <w:r>
        <w:rPr>
          <w:color w:val="221F1F"/>
        </w:rPr>
        <w:t>sídlo: Karla Engliše 3219/4, 150 00 Praha 5 - Smíchov, Česká republika IČO:</w:t>
      </w:r>
    </w:p>
    <w:p w14:paraId="42EF18A1" w14:textId="77777777" w:rsidR="005E590E" w:rsidRDefault="000A2085">
      <w:pPr>
        <w:pStyle w:val="Zkladntext"/>
        <w:ind w:left="684"/>
      </w:pPr>
      <w:r>
        <w:rPr>
          <w:color w:val="221F1F"/>
        </w:rPr>
        <w:t>25635972</w:t>
      </w:r>
    </w:p>
    <w:p w14:paraId="6990AD61" w14:textId="77777777" w:rsidR="005E590E" w:rsidRDefault="000A2085">
      <w:pPr>
        <w:pStyle w:val="Zkladntext"/>
        <w:spacing w:before="1" w:line="229" w:lineRule="exact"/>
        <w:ind w:left="684"/>
      </w:pPr>
      <w:r>
        <w:rPr>
          <w:color w:val="221F1F"/>
        </w:rPr>
        <w:t>DIČ: CZ25635972</w:t>
      </w:r>
    </w:p>
    <w:p w14:paraId="6E585AB8" w14:textId="77777777" w:rsidR="005E590E" w:rsidRDefault="000A2085">
      <w:pPr>
        <w:pStyle w:val="Zkladntext"/>
        <w:ind w:left="684"/>
      </w:pPr>
      <w:r>
        <w:rPr>
          <w:color w:val="221F1F"/>
        </w:rPr>
        <w:t xml:space="preserve">bankovní spojení: Citibank </w:t>
      </w:r>
      <w:proofErr w:type="spellStart"/>
      <w:r>
        <w:rPr>
          <w:color w:val="221F1F"/>
        </w:rPr>
        <w:t>Europe</w:t>
      </w:r>
      <w:proofErr w:type="spellEnd"/>
      <w:r>
        <w:rPr>
          <w:color w:val="221F1F"/>
        </w:rPr>
        <w:t xml:space="preserve"> PLC, Praha 5, Organizační složka; č. ú: 2551700205/2600 zapsaná v obchodním rejstříku vedeném Městským soudem v Praze, oddíl C, vložka 56799</w:t>
      </w:r>
    </w:p>
    <w:p w14:paraId="4E9D480B" w14:textId="77777777" w:rsidR="005E590E" w:rsidRDefault="000A2085">
      <w:pPr>
        <w:spacing w:before="120" w:line="616" w:lineRule="auto"/>
        <w:ind w:left="684" w:right="7385" w:hanging="1"/>
        <w:rPr>
          <w:rFonts w:ascii="Arial" w:hAnsi="Arial"/>
          <w:sz w:val="20"/>
        </w:rPr>
      </w:pPr>
      <w:r>
        <w:rPr>
          <w:rFonts w:ascii="Arial" w:hAnsi="Arial"/>
          <w:color w:val="221F1F"/>
          <w:sz w:val="20"/>
        </w:rPr>
        <w:t>(„</w:t>
      </w:r>
      <w:r>
        <w:rPr>
          <w:rFonts w:ascii="Arial" w:hAnsi="Arial"/>
          <w:b/>
          <w:color w:val="221F1F"/>
          <w:sz w:val="20"/>
        </w:rPr>
        <w:t>Poskytovatel</w:t>
      </w:r>
      <w:r>
        <w:rPr>
          <w:rFonts w:ascii="Arial" w:hAnsi="Arial"/>
          <w:color w:val="221F1F"/>
          <w:sz w:val="20"/>
        </w:rPr>
        <w:t>“) a</w:t>
      </w:r>
    </w:p>
    <w:p w14:paraId="02E1A9F0" w14:textId="77777777" w:rsidR="005E590E" w:rsidRDefault="000A2085">
      <w:pPr>
        <w:pStyle w:val="Nadpis1"/>
        <w:numPr>
          <w:ilvl w:val="0"/>
          <w:numId w:val="2"/>
        </w:numPr>
        <w:tabs>
          <w:tab w:val="left" w:pos="684"/>
          <w:tab w:val="left" w:pos="685"/>
        </w:tabs>
        <w:spacing w:line="226" w:lineRule="exact"/>
      </w:pPr>
      <w:r>
        <w:rPr>
          <w:color w:val="221F1F"/>
        </w:rPr>
        <w:t>Oblastní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nemocnice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Mladá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Boleslav,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a.s.,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nemocnice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Středočeského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kraje</w:t>
      </w:r>
    </w:p>
    <w:p w14:paraId="26410ACB" w14:textId="77777777" w:rsidR="005E590E" w:rsidRDefault="000A2085">
      <w:pPr>
        <w:pStyle w:val="Zkladntext"/>
        <w:ind w:left="672" w:right="1026"/>
      </w:pPr>
      <w:r>
        <w:rPr>
          <w:color w:val="221F1F"/>
        </w:rPr>
        <w:t>se sídlem: Mladá Boleslav, třída Václava Klementa 147, PSČ 29301, Česká republika IČO: 27256456</w:t>
      </w:r>
    </w:p>
    <w:p w14:paraId="2847E6D7" w14:textId="77777777" w:rsidR="005E590E" w:rsidRDefault="000A2085">
      <w:pPr>
        <w:pStyle w:val="Zkladntext"/>
        <w:spacing w:line="229" w:lineRule="exact"/>
        <w:ind w:left="679"/>
      </w:pPr>
      <w:r>
        <w:rPr>
          <w:color w:val="221F1F"/>
        </w:rPr>
        <w:t>DIČ: CZ27256456</w:t>
      </w:r>
    </w:p>
    <w:p w14:paraId="696F8F75" w14:textId="77777777" w:rsidR="005E590E" w:rsidRDefault="000A2085">
      <w:pPr>
        <w:pStyle w:val="Zkladntext"/>
        <w:spacing w:before="1"/>
        <w:ind w:left="672"/>
      </w:pPr>
      <w:r>
        <w:rPr>
          <w:color w:val="221F1F"/>
        </w:rPr>
        <w:t xml:space="preserve">zapsaná v obchodním rejstříku vedeném u Městského soudu v Praze, </w:t>
      </w:r>
      <w:proofErr w:type="spellStart"/>
      <w:r>
        <w:rPr>
          <w:color w:val="221F1F"/>
        </w:rPr>
        <w:t>sp</w:t>
      </w:r>
      <w:proofErr w:type="spellEnd"/>
      <w:r>
        <w:rPr>
          <w:color w:val="221F1F"/>
        </w:rPr>
        <w:t>. zn. B 10019</w:t>
      </w:r>
    </w:p>
    <w:p w14:paraId="77DF7509" w14:textId="77777777" w:rsidR="005E590E" w:rsidRDefault="005E590E">
      <w:pPr>
        <w:pStyle w:val="Zkladntext"/>
        <w:spacing w:before="3"/>
        <w:rPr>
          <w:sz w:val="30"/>
        </w:rPr>
      </w:pPr>
    </w:p>
    <w:p w14:paraId="5299CBEF" w14:textId="77777777" w:rsidR="005E590E" w:rsidRDefault="000A2085">
      <w:pPr>
        <w:ind w:left="684"/>
        <w:rPr>
          <w:rFonts w:ascii="Arial" w:hAnsi="Arial"/>
          <w:sz w:val="20"/>
        </w:rPr>
      </w:pPr>
      <w:r>
        <w:rPr>
          <w:rFonts w:ascii="Arial" w:hAnsi="Arial"/>
          <w:color w:val="221F1F"/>
          <w:sz w:val="20"/>
        </w:rPr>
        <w:t>(„</w:t>
      </w:r>
      <w:r>
        <w:rPr>
          <w:rFonts w:ascii="Arial" w:hAnsi="Arial"/>
          <w:b/>
          <w:color w:val="221F1F"/>
          <w:sz w:val="20"/>
        </w:rPr>
        <w:t>Příjemce</w:t>
      </w:r>
      <w:r>
        <w:rPr>
          <w:rFonts w:ascii="Arial" w:hAnsi="Arial"/>
          <w:color w:val="221F1F"/>
          <w:sz w:val="20"/>
        </w:rPr>
        <w:t>“)</w:t>
      </w:r>
    </w:p>
    <w:p w14:paraId="71317ECA" w14:textId="77777777" w:rsidR="005E590E" w:rsidRDefault="000A2085">
      <w:pPr>
        <w:pStyle w:val="Zkladntext"/>
        <w:spacing w:before="121"/>
        <w:ind w:left="684"/>
      </w:pPr>
      <w:r>
        <w:rPr>
          <w:color w:val="221F1F"/>
        </w:rPr>
        <w:t>(Poskytovatel a Příjemce také dále společně jako „</w:t>
      </w:r>
      <w:r>
        <w:rPr>
          <w:b/>
          <w:color w:val="221F1F"/>
        </w:rPr>
        <w:t>Strany</w:t>
      </w:r>
      <w:r>
        <w:rPr>
          <w:color w:val="221F1F"/>
        </w:rPr>
        <w:t>“ a jednotlivě jako „</w:t>
      </w:r>
      <w:r>
        <w:rPr>
          <w:b/>
          <w:color w:val="221F1F"/>
        </w:rPr>
        <w:t>Strana</w:t>
      </w:r>
      <w:r>
        <w:rPr>
          <w:color w:val="221F1F"/>
        </w:rPr>
        <w:t>“)</w:t>
      </w:r>
    </w:p>
    <w:p w14:paraId="12DA0BF6" w14:textId="77777777" w:rsidR="005E590E" w:rsidRDefault="005E590E">
      <w:pPr>
        <w:pStyle w:val="Zkladntext"/>
        <w:rPr>
          <w:sz w:val="22"/>
        </w:rPr>
      </w:pPr>
    </w:p>
    <w:p w14:paraId="5209AA84" w14:textId="77777777" w:rsidR="005E590E" w:rsidRDefault="005E590E">
      <w:pPr>
        <w:pStyle w:val="Zkladntext"/>
        <w:spacing w:before="9"/>
        <w:rPr>
          <w:sz w:val="19"/>
        </w:rPr>
      </w:pPr>
    </w:p>
    <w:p w14:paraId="57DF7519" w14:textId="77777777" w:rsidR="005E590E" w:rsidRDefault="000A2085">
      <w:pPr>
        <w:pStyle w:val="Nadpis1"/>
        <w:ind w:left="117"/>
      </w:pPr>
      <w:bookmarkStart w:id="2" w:name="PREAMBULE"/>
      <w:bookmarkEnd w:id="2"/>
      <w:r>
        <w:rPr>
          <w:color w:val="221F1F"/>
        </w:rPr>
        <w:t>PREAMBULE</w:t>
      </w:r>
    </w:p>
    <w:p w14:paraId="329C368B" w14:textId="77777777" w:rsidR="005E590E" w:rsidRDefault="005E590E">
      <w:pPr>
        <w:pStyle w:val="Zkladntext"/>
        <w:spacing w:before="9"/>
        <w:rPr>
          <w:b/>
        </w:rPr>
      </w:pPr>
    </w:p>
    <w:p w14:paraId="2DE55301" w14:textId="77777777" w:rsidR="005E590E" w:rsidRDefault="000A2085">
      <w:pPr>
        <w:pStyle w:val="Odstavecseseznamem"/>
        <w:numPr>
          <w:ilvl w:val="1"/>
          <w:numId w:val="2"/>
        </w:numPr>
        <w:tabs>
          <w:tab w:val="left" w:pos="684"/>
          <w:tab w:val="left" w:pos="685"/>
        </w:tabs>
        <w:spacing w:before="1"/>
        <w:ind w:hanging="570"/>
        <w:rPr>
          <w:sz w:val="20"/>
        </w:rPr>
      </w:pPr>
      <w:r>
        <w:rPr>
          <w:color w:val="221F1F"/>
          <w:sz w:val="20"/>
        </w:rPr>
        <w:t>Strany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uzavřely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smlouvu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poskytnutí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finančního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bonusu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ze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dne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31.12.2021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ve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znění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dodatku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č.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1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ze</w:t>
      </w:r>
    </w:p>
    <w:p w14:paraId="51AE2567" w14:textId="77777777" w:rsidR="005E590E" w:rsidRDefault="000A2085">
      <w:pPr>
        <w:pStyle w:val="Zkladntext"/>
        <w:ind w:left="684"/>
      </w:pPr>
      <w:r>
        <w:rPr>
          <w:color w:val="221F1F"/>
        </w:rPr>
        <w:t>dne 7. 3. 2023 a dodatku č. 2 ze dne 2. 5. 2024 („</w:t>
      </w:r>
      <w:r>
        <w:rPr>
          <w:b/>
          <w:color w:val="221F1F"/>
        </w:rPr>
        <w:t>Smlouva</w:t>
      </w:r>
      <w:r>
        <w:rPr>
          <w:color w:val="221F1F"/>
        </w:rPr>
        <w:t>“).</w:t>
      </w:r>
    </w:p>
    <w:p w14:paraId="20DDCAAB" w14:textId="77777777" w:rsidR="005E590E" w:rsidRDefault="000A2085">
      <w:pPr>
        <w:pStyle w:val="Odstavecseseznamem"/>
        <w:numPr>
          <w:ilvl w:val="1"/>
          <w:numId w:val="2"/>
        </w:numPr>
        <w:tabs>
          <w:tab w:val="left" w:pos="685"/>
        </w:tabs>
        <w:spacing w:before="118"/>
        <w:ind w:right="149"/>
        <w:jc w:val="both"/>
        <w:rPr>
          <w:sz w:val="20"/>
        </w:rPr>
      </w:pPr>
      <w:r>
        <w:rPr>
          <w:color w:val="221F1F"/>
          <w:sz w:val="20"/>
        </w:rPr>
        <w:t>Strany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dohodly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na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níže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ujednaných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změnách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Smlouvy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tímto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účelem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rozhodly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uzavřít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tento Dodatek.</w:t>
      </w:r>
    </w:p>
    <w:p w14:paraId="77B4CB53" w14:textId="77777777" w:rsidR="005E590E" w:rsidRDefault="005E590E">
      <w:pPr>
        <w:pStyle w:val="Zkladntext"/>
        <w:spacing w:before="11"/>
      </w:pPr>
    </w:p>
    <w:p w14:paraId="6DE91ABF" w14:textId="77777777" w:rsidR="005E590E" w:rsidRDefault="000A2085">
      <w:pPr>
        <w:pStyle w:val="Nadpis1"/>
        <w:numPr>
          <w:ilvl w:val="0"/>
          <w:numId w:val="1"/>
        </w:numPr>
        <w:tabs>
          <w:tab w:val="left" w:pos="684"/>
          <w:tab w:val="left" w:pos="685"/>
        </w:tabs>
      </w:pPr>
      <w:bookmarkStart w:id="3" w:name="1._PŘEDMĚT_DODATKU"/>
      <w:bookmarkEnd w:id="3"/>
      <w:r>
        <w:rPr>
          <w:color w:val="221F1F"/>
        </w:rPr>
        <w:t>PŘEDMĚT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3"/>
        </w:rPr>
        <w:t>DODATKU</w:t>
      </w:r>
    </w:p>
    <w:p w14:paraId="22B40B4C" w14:textId="77777777" w:rsidR="005E590E" w:rsidRDefault="000A2085">
      <w:pPr>
        <w:pStyle w:val="Odstavecseseznamem"/>
        <w:numPr>
          <w:ilvl w:val="1"/>
          <w:numId w:val="1"/>
        </w:numPr>
        <w:tabs>
          <w:tab w:val="left" w:pos="684"/>
          <w:tab w:val="left" w:pos="685"/>
        </w:tabs>
        <w:spacing w:before="120"/>
        <w:rPr>
          <w:sz w:val="20"/>
        </w:rPr>
      </w:pPr>
      <w:r>
        <w:rPr>
          <w:color w:val="221F1F"/>
          <w:sz w:val="20"/>
        </w:rPr>
        <w:t>Znění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celého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článku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4.1.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Smlouvy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ruší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plně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nahrazuje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následujícím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zněním:</w:t>
      </w:r>
    </w:p>
    <w:p w14:paraId="70222A77" w14:textId="77777777" w:rsidR="005E590E" w:rsidRDefault="000A2085">
      <w:pPr>
        <w:spacing w:before="121"/>
        <w:ind w:left="684"/>
        <w:rPr>
          <w:rFonts w:ascii="Arial" w:hAnsi="Arial"/>
          <w:sz w:val="20"/>
        </w:rPr>
      </w:pPr>
      <w:r>
        <w:rPr>
          <w:rFonts w:ascii="Arial" w:hAnsi="Arial"/>
          <w:color w:val="221F1F"/>
          <w:sz w:val="20"/>
        </w:rPr>
        <w:t>„</w:t>
      </w:r>
      <w:r>
        <w:rPr>
          <w:rFonts w:ascii="Arial" w:hAnsi="Arial"/>
          <w:i/>
          <w:color w:val="221F1F"/>
          <w:sz w:val="20"/>
        </w:rPr>
        <w:t xml:space="preserve">Tato smlouva se uzavírá na dobu určitou do </w:t>
      </w:r>
      <w:r>
        <w:rPr>
          <w:rFonts w:ascii="Arial" w:hAnsi="Arial"/>
          <w:b/>
          <w:i/>
          <w:color w:val="221F1F"/>
          <w:sz w:val="20"/>
        </w:rPr>
        <w:t>31. prosince 2025</w:t>
      </w:r>
      <w:r>
        <w:rPr>
          <w:rFonts w:ascii="Arial" w:hAnsi="Arial"/>
          <w:i/>
          <w:color w:val="221F1F"/>
          <w:sz w:val="20"/>
        </w:rPr>
        <w:t>.</w:t>
      </w:r>
      <w:r>
        <w:rPr>
          <w:rFonts w:ascii="Arial" w:hAnsi="Arial"/>
          <w:color w:val="221F1F"/>
          <w:sz w:val="20"/>
        </w:rPr>
        <w:t>”</w:t>
      </w:r>
    </w:p>
    <w:p w14:paraId="69C3F87C" w14:textId="77777777" w:rsidR="005E590E" w:rsidRDefault="000A2085">
      <w:pPr>
        <w:pStyle w:val="Odstavecseseznamem"/>
        <w:numPr>
          <w:ilvl w:val="1"/>
          <w:numId w:val="1"/>
        </w:numPr>
        <w:tabs>
          <w:tab w:val="left" w:pos="684"/>
          <w:tab w:val="left" w:pos="685"/>
        </w:tabs>
        <w:spacing w:before="118" w:line="229" w:lineRule="exact"/>
        <w:ind w:hanging="570"/>
        <w:rPr>
          <w:sz w:val="20"/>
        </w:rPr>
      </w:pPr>
      <w:r>
        <w:rPr>
          <w:color w:val="221F1F"/>
          <w:sz w:val="20"/>
        </w:rPr>
        <w:t>Znění</w:t>
      </w:r>
      <w:r>
        <w:rPr>
          <w:color w:val="221F1F"/>
          <w:spacing w:val="54"/>
          <w:sz w:val="20"/>
        </w:rPr>
        <w:t xml:space="preserve"> </w:t>
      </w:r>
      <w:r>
        <w:rPr>
          <w:color w:val="221F1F"/>
          <w:sz w:val="20"/>
        </w:rPr>
        <w:t>Přílohy</w:t>
      </w:r>
      <w:r>
        <w:rPr>
          <w:color w:val="221F1F"/>
          <w:spacing w:val="51"/>
          <w:sz w:val="20"/>
        </w:rPr>
        <w:t xml:space="preserve"> </w:t>
      </w:r>
      <w:r>
        <w:rPr>
          <w:color w:val="221F1F"/>
          <w:sz w:val="20"/>
        </w:rPr>
        <w:t>č.</w:t>
      </w:r>
      <w:r>
        <w:rPr>
          <w:color w:val="221F1F"/>
          <w:spacing w:val="50"/>
          <w:sz w:val="20"/>
        </w:rPr>
        <w:t xml:space="preserve"> </w:t>
      </w:r>
      <w:r>
        <w:rPr>
          <w:color w:val="221F1F"/>
          <w:sz w:val="20"/>
        </w:rPr>
        <w:t>1</w:t>
      </w:r>
      <w:r>
        <w:rPr>
          <w:color w:val="221F1F"/>
          <w:spacing w:val="51"/>
          <w:sz w:val="20"/>
        </w:rPr>
        <w:t xml:space="preserve"> </w:t>
      </w:r>
      <w:r>
        <w:rPr>
          <w:color w:val="221F1F"/>
          <w:sz w:val="20"/>
        </w:rPr>
        <w:t>Smlouvy</w:t>
      </w:r>
      <w:r>
        <w:rPr>
          <w:color w:val="221F1F"/>
          <w:spacing w:val="52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49"/>
          <w:sz w:val="20"/>
        </w:rPr>
        <w:t xml:space="preserve"> </w:t>
      </w:r>
      <w:r>
        <w:rPr>
          <w:color w:val="221F1F"/>
          <w:sz w:val="20"/>
        </w:rPr>
        <w:t>ruší</w:t>
      </w:r>
      <w:r>
        <w:rPr>
          <w:color w:val="221F1F"/>
          <w:spacing w:val="49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50"/>
          <w:sz w:val="20"/>
        </w:rPr>
        <w:t xml:space="preserve"> </w:t>
      </w:r>
      <w:r>
        <w:rPr>
          <w:color w:val="221F1F"/>
          <w:sz w:val="20"/>
        </w:rPr>
        <w:t>plně</w:t>
      </w:r>
      <w:r>
        <w:rPr>
          <w:color w:val="221F1F"/>
          <w:spacing w:val="49"/>
          <w:sz w:val="20"/>
        </w:rPr>
        <w:t xml:space="preserve"> </w:t>
      </w:r>
      <w:r>
        <w:rPr>
          <w:color w:val="221F1F"/>
          <w:sz w:val="20"/>
        </w:rPr>
        <w:t>nahrazuje</w:t>
      </w:r>
      <w:r>
        <w:rPr>
          <w:color w:val="221F1F"/>
          <w:spacing w:val="50"/>
          <w:sz w:val="20"/>
        </w:rPr>
        <w:t xml:space="preserve"> </w:t>
      </w:r>
      <w:r>
        <w:rPr>
          <w:color w:val="221F1F"/>
          <w:sz w:val="20"/>
        </w:rPr>
        <w:t>zněním,</w:t>
      </w:r>
      <w:r>
        <w:rPr>
          <w:color w:val="221F1F"/>
          <w:spacing w:val="49"/>
          <w:sz w:val="20"/>
        </w:rPr>
        <w:t xml:space="preserve"> </w:t>
      </w:r>
      <w:r>
        <w:rPr>
          <w:color w:val="221F1F"/>
          <w:sz w:val="20"/>
        </w:rPr>
        <w:t>které</w:t>
      </w:r>
      <w:r>
        <w:rPr>
          <w:color w:val="221F1F"/>
          <w:spacing w:val="50"/>
          <w:sz w:val="20"/>
        </w:rPr>
        <w:t xml:space="preserve"> </w:t>
      </w:r>
      <w:r>
        <w:rPr>
          <w:color w:val="221F1F"/>
          <w:sz w:val="20"/>
        </w:rPr>
        <w:t>tvoří</w:t>
      </w:r>
      <w:r>
        <w:rPr>
          <w:color w:val="221F1F"/>
          <w:spacing w:val="54"/>
          <w:sz w:val="20"/>
        </w:rPr>
        <w:t xml:space="preserve"> </w:t>
      </w:r>
      <w:r>
        <w:rPr>
          <w:color w:val="221F1F"/>
          <w:sz w:val="20"/>
        </w:rPr>
        <w:t>Přílohu</w:t>
      </w:r>
      <w:r>
        <w:rPr>
          <w:color w:val="221F1F"/>
          <w:spacing w:val="49"/>
          <w:sz w:val="20"/>
        </w:rPr>
        <w:t xml:space="preserve"> </w:t>
      </w:r>
      <w:r>
        <w:rPr>
          <w:color w:val="221F1F"/>
          <w:sz w:val="20"/>
        </w:rPr>
        <w:t>č.</w:t>
      </w:r>
      <w:r>
        <w:rPr>
          <w:color w:val="221F1F"/>
          <w:spacing w:val="50"/>
          <w:sz w:val="20"/>
        </w:rPr>
        <w:t xml:space="preserve"> </w:t>
      </w:r>
      <w:r>
        <w:rPr>
          <w:color w:val="221F1F"/>
          <w:sz w:val="20"/>
        </w:rPr>
        <w:t>1</w:t>
      </w:r>
      <w:r>
        <w:rPr>
          <w:color w:val="221F1F"/>
          <w:spacing w:val="49"/>
          <w:sz w:val="20"/>
        </w:rPr>
        <w:t xml:space="preserve"> </w:t>
      </w:r>
      <w:r>
        <w:rPr>
          <w:color w:val="221F1F"/>
          <w:sz w:val="20"/>
        </w:rPr>
        <w:t>tohoto</w:t>
      </w:r>
    </w:p>
    <w:p w14:paraId="1E20A48F" w14:textId="77777777" w:rsidR="005E590E" w:rsidRDefault="000A2085">
      <w:pPr>
        <w:pStyle w:val="Zkladntext"/>
        <w:spacing w:line="229" w:lineRule="exact"/>
        <w:ind w:left="684"/>
      </w:pPr>
      <w:r>
        <w:rPr>
          <w:color w:val="221F1F"/>
        </w:rPr>
        <w:t>Dodatku.</w:t>
      </w:r>
    </w:p>
    <w:p w14:paraId="6555D0EC" w14:textId="77777777" w:rsidR="005E590E" w:rsidRDefault="005E590E">
      <w:pPr>
        <w:pStyle w:val="Zkladntext"/>
        <w:spacing w:before="10"/>
      </w:pPr>
    </w:p>
    <w:p w14:paraId="283CD8CF" w14:textId="77777777" w:rsidR="005E590E" w:rsidRDefault="000A2085">
      <w:pPr>
        <w:pStyle w:val="Nadpis1"/>
        <w:numPr>
          <w:ilvl w:val="0"/>
          <w:numId w:val="1"/>
        </w:numPr>
        <w:tabs>
          <w:tab w:val="left" w:pos="684"/>
          <w:tab w:val="left" w:pos="685"/>
        </w:tabs>
      </w:pPr>
      <w:bookmarkStart w:id="4" w:name="2._ZÁVĚREČNÁ_USTANOVENÍ"/>
      <w:bookmarkEnd w:id="4"/>
      <w:r>
        <w:rPr>
          <w:color w:val="221F1F"/>
        </w:rPr>
        <w:t>ZÁVĚREČNÁ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USTANOVENÍ</w:t>
      </w:r>
    </w:p>
    <w:p w14:paraId="41564654" w14:textId="77777777" w:rsidR="005E590E" w:rsidRDefault="000A2085">
      <w:pPr>
        <w:pStyle w:val="Odstavecseseznamem"/>
        <w:numPr>
          <w:ilvl w:val="1"/>
          <w:numId w:val="1"/>
        </w:numPr>
        <w:tabs>
          <w:tab w:val="left" w:pos="684"/>
          <w:tab w:val="left" w:pos="685"/>
        </w:tabs>
        <w:rPr>
          <w:sz w:val="20"/>
        </w:rPr>
      </w:pPr>
      <w:r>
        <w:rPr>
          <w:color w:val="221F1F"/>
          <w:sz w:val="20"/>
        </w:rPr>
        <w:t>Ostatní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ustanovení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Smlouvy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tímto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Dodatkem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nemění.</w:t>
      </w:r>
    </w:p>
    <w:p w14:paraId="25D4E925" w14:textId="77777777" w:rsidR="005E590E" w:rsidRDefault="000A2085">
      <w:pPr>
        <w:pStyle w:val="Odstavecseseznamem"/>
        <w:numPr>
          <w:ilvl w:val="1"/>
          <w:numId w:val="1"/>
        </w:numPr>
        <w:tabs>
          <w:tab w:val="left" w:pos="680"/>
        </w:tabs>
        <w:spacing w:before="120"/>
        <w:ind w:left="683" w:right="149" w:hanging="568"/>
        <w:jc w:val="both"/>
        <w:rPr>
          <w:sz w:val="20"/>
        </w:rPr>
      </w:pPr>
      <w:r>
        <w:rPr>
          <w:color w:val="221F1F"/>
          <w:sz w:val="20"/>
        </w:rPr>
        <w:t xml:space="preserve">Ustanovení Smlouvy o jejím uveřejnění v registru smluv dle zákona č. 340/2015 Sb., o zvláštních podmínkách účinnosti některých smluv, uveřejňování těchto smluv a o registru smluv (zákon o registru smluv), ve znění pozdějších předpisů, se použijí na uveřejnění tohoto Dodatku v registru smluv </w:t>
      </w:r>
      <w:proofErr w:type="spellStart"/>
      <w:r>
        <w:rPr>
          <w:i/>
          <w:color w:val="221F1F"/>
          <w:sz w:val="20"/>
        </w:rPr>
        <w:t>mutatis</w:t>
      </w:r>
      <w:proofErr w:type="spellEnd"/>
      <w:r>
        <w:rPr>
          <w:i/>
          <w:color w:val="221F1F"/>
          <w:sz w:val="20"/>
        </w:rPr>
        <w:t xml:space="preserve"> </w:t>
      </w:r>
      <w:proofErr w:type="spellStart"/>
      <w:r>
        <w:rPr>
          <w:i/>
          <w:color w:val="221F1F"/>
          <w:sz w:val="20"/>
        </w:rPr>
        <w:t>mutandis</w:t>
      </w:r>
      <w:proofErr w:type="spellEnd"/>
      <w:r>
        <w:rPr>
          <w:color w:val="221F1F"/>
          <w:sz w:val="20"/>
        </w:rPr>
        <w:t>.</w:t>
      </w:r>
    </w:p>
    <w:p w14:paraId="7401081B" w14:textId="77777777" w:rsidR="005E590E" w:rsidRDefault="000A2085">
      <w:pPr>
        <w:pStyle w:val="Odstavecseseznamem"/>
        <w:numPr>
          <w:ilvl w:val="1"/>
          <w:numId w:val="1"/>
        </w:numPr>
        <w:tabs>
          <w:tab w:val="left" w:pos="685"/>
        </w:tabs>
        <w:spacing w:before="119"/>
        <w:ind w:right="150" w:hanging="569"/>
        <w:jc w:val="both"/>
        <w:rPr>
          <w:sz w:val="20"/>
        </w:rPr>
      </w:pPr>
      <w:r>
        <w:rPr>
          <w:color w:val="221F1F"/>
          <w:sz w:val="20"/>
        </w:rPr>
        <w:t>Tento Dodatek nabývá platnosti dnem podpisu poslední ze Stran a účinnosti v souladu s výše citovaným zákonem o registru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smluv.</w:t>
      </w:r>
    </w:p>
    <w:p w14:paraId="66A0E194" w14:textId="77777777" w:rsidR="005E590E" w:rsidRDefault="000A2085">
      <w:pPr>
        <w:pStyle w:val="Odstavecseseznamem"/>
        <w:numPr>
          <w:ilvl w:val="1"/>
          <w:numId w:val="1"/>
        </w:numPr>
        <w:tabs>
          <w:tab w:val="left" w:pos="685"/>
        </w:tabs>
        <w:ind w:right="150" w:hanging="569"/>
        <w:jc w:val="both"/>
        <w:rPr>
          <w:sz w:val="20"/>
        </w:rPr>
      </w:pPr>
      <w:r>
        <w:rPr>
          <w:color w:val="221F1F"/>
          <w:spacing w:val="5"/>
          <w:sz w:val="20"/>
        </w:rPr>
        <w:t xml:space="preserve">Smluvní strany prohlašují, </w:t>
      </w:r>
      <w:r>
        <w:rPr>
          <w:color w:val="221F1F"/>
          <w:spacing w:val="4"/>
          <w:sz w:val="20"/>
        </w:rPr>
        <w:t xml:space="preserve">že se </w:t>
      </w:r>
      <w:r>
        <w:rPr>
          <w:color w:val="221F1F"/>
          <w:spacing w:val="5"/>
          <w:sz w:val="20"/>
        </w:rPr>
        <w:t xml:space="preserve">podmínkami </w:t>
      </w:r>
      <w:r>
        <w:rPr>
          <w:color w:val="221F1F"/>
          <w:spacing w:val="4"/>
          <w:sz w:val="20"/>
        </w:rPr>
        <w:t xml:space="preserve">Smlouvy </w:t>
      </w:r>
      <w:r>
        <w:rPr>
          <w:color w:val="221F1F"/>
          <w:sz w:val="20"/>
        </w:rPr>
        <w:t xml:space="preserve">na </w:t>
      </w:r>
      <w:r>
        <w:rPr>
          <w:color w:val="221F1F"/>
          <w:spacing w:val="5"/>
          <w:sz w:val="20"/>
        </w:rPr>
        <w:t xml:space="preserve">základě vzájemné </w:t>
      </w:r>
      <w:r>
        <w:rPr>
          <w:color w:val="221F1F"/>
          <w:spacing w:val="4"/>
          <w:sz w:val="20"/>
        </w:rPr>
        <w:t xml:space="preserve">dohody řídily </w:t>
      </w:r>
      <w:r>
        <w:rPr>
          <w:color w:val="221F1F"/>
          <w:spacing w:val="3"/>
          <w:sz w:val="20"/>
        </w:rPr>
        <w:t xml:space="preserve">již </w:t>
      </w:r>
      <w:r>
        <w:rPr>
          <w:color w:val="221F1F"/>
          <w:spacing w:val="4"/>
          <w:sz w:val="20"/>
        </w:rPr>
        <w:t xml:space="preserve">dne </w:t>
      </w:r>
      <w:r>
        <w:rPr>
          <w:color w:val="221F1F"/>
          <w:spacing w:val="3"/>
          <w:sz w:val="20"/>
        </w:rPr>
        <w:t xml:space="preserve">1. 1. </w:t>
      </w:r>
      <w:r>
        <w:rPr>
          <w:color w:val="221F1F"/>
          <w:spacing w:val="4"/>
          <w:sz w:val="20"/>
        </w:rPr>
        <w:t xml:space="preserve">2025 </w:t>
      </w:r>
      <w:r>
        <w:rPr>
          <w:color w:val="221F1F"/>
          <w:sz w:val="20"/>
        </w:rPr>
        <w:t>a veškerá svá vzájemná plnění poskytnutá do dne nabytí účinnosti tohoto dodatku považují za plnění poskytnutá podle</w:t>
      </w:r>
      <w:r>
        <w:rPr>
          <w:color w:val="221F1F"/>
          <w:spacing w:val="-26"/>
          <w:sz w:val="20"/>
        </w:rPr>
        <w:t xml:space="preserve"> </w:t>
      </w:r>
      <w:r>
        <w:rPr>
          <w:color w:val="221F1F"/>
          <w:sz w:val="20"/>
        </w:rPr>
        <w:t>Smlouvy.</w:t>
      </w:r>
    </w:p>
    <w:p w14:paraId="44FAC8A7" w14:textId="77777777" w:rsidR="005E590E" w:rsidRDefault="000A2085">
      <w:pPr>
        <w:pStyle w:val="Odstavecseseznamem"/>
        <w:numPr>
          <w:ilvl w:val="1"/>
          <w:numId w:val="1"/>
        </w:numPr>
        <w:tabs>
          <w:tab w:val="left" w:pos="685"/>
        </w:tabs>
        <w:ind w:right="152" w:hanging="569"/>
        <w:jc w:val="both"/>
        <w:rPr>
          <w:sz w:val="20"/>
        </w:rPr>
      </w:pPr>
      <w:r>
        <w:rPr>
          <w:color w:val="221F1F"/>
          <w:spacing w:val="5"/>
          <w:sz w:val="20"/>
        </w:rPr>
        <w:t xml:space="preserve">Tento </w:t>
      </w:r>
      <w:r>
        <w:rPr>
          <w:color w:val="221F1F"/>
          <w:spacing w:val="4"/>
          <w:sz w:val="20"/>
        </w:rPr>
        <w:t xml:space="preserve">Dodatek může </w:t>
      </w:r>
      <w:r>
        <w:rPr>
          <w:color w:val="221F1F"/>
          <w:spacing w:val="3"/>
          <w:sz w:val="20"/>
        </w:rPr>
        <w:t xml:space="preserve">být </w:t>
      </w:r>
      <w:r>
        <w:rPr>
          <w:color w:val="221F1F"/>
          <w:spacing w:val="4"/>
          <w:sz w:val="20"/>
        </w:rPr>
        <w:t xml:space="preserve">měněn či </w:t>
      </w:r>
      <w:r>
        <w:rPr>
          <w:color w:val="221F1F"/>
          <w:spacing w:val="5"/>
          <w:sz w:val="20"/>
        </w:rPr>
        <w:t xml:space="preserve">doplňován </w:t>
      </w:r>
      <w:r>
        <w:rPr>
          <w:color w:val="221F1F"/>
          <w:spacing w:val="4"/>
          <w:sz w:val="20"/>
        </w:rPr>
        <w:t xml:space="preserve">pouze </w:t>
      </w:r>
      <w:r>
        <w:rPr>
          <w:color w:val="221F1F"/>
          <w:spacing w:val="5"/>
          <w:sz w:val="20"/>
        </w:rPr>
        <w:t xml:space="preserve">formou </w:t>
      </w:r>
      <w:r>
        <w:rPr>
          <w:color w:val="221F1F"/>
          <w:spacing w:val="4"/>
          <w:sz w:val="20"/>
        </w:rPr>
        <w:t xml:space="preserve">písemné dohody obou </w:t>
      </w:r>
      <w:r>
        <w:rPr>
          <w:color w:val="221F1F"/>
          <w:spacing w:val="5"/>
          <w:sz w:val="20"/>
        </w:rPr>
        <w:t>Stran podepsané jejich oprávněnými</w:t>
      </w:r>
      <w:r>
        <w:rPr>
          <w:color w:val="221F1F"/>
          <w:spacing w:val="22"/>
          <w:sz w:val="20"/>
        </w:rPr>
        <w:t xml:space="preserve"> </w:t>
      </w:r>
      <w:r>
        <w:rPr>
          <w:color w:val="221F1F"/>
          <w:spacing w:val="5"/>
          <w:sz w:val="20"/>
        </w:rPr>
        <w:t>zástupci.</w:t>
      </w:r>
    </w:p>
    <w:p w14:paraId="63F078FF" w14:textId="77777777" w:rsidR="005E590E" w:rsidRDefault="005E590E">
      <w:pPr>
        <w:jc w:val="both"/>
        <w:rPr>
          <w:sz w:val="20"/>
        </w:rPr>
        <w:sectPr w:rsidR="005E590E">
          <w:footerReference w:type="default" r:id="rId7"/>
          <w:type w:val="continuous"/>
          <w:pgSz w:w="11920" w:h="16850"/>
          <w:pgMar w:top="1340" w:right="960" w:bottom="1000" w:left="1300" w:header="708" w:footer="813" w:gutter="0"/>
          <w:pgNumType w:start="1"/>
          <w:cols w:space="708"/>
        </w:sectPr>
      </w:pPr>
    </w:p>
    <w:p w14:paraId="1B5EAFAC" w14:textId="77777777" w:rsidR="005E590E" w:rsidRDefault="000A2085">
      <w:pPr>
        <w:pStyle w:val="Odstavecseseznamem"/>
        <w:numPr>
          <w:ilvl w:val="1"/>
          <w:numId w:val="1"/>
        </w:numPr>
        <w:tabs>
          <w:tab w:val="left" w:pos="680"/>
        </w:tabs>
        <w:spacing w:before="78"/>
        <w:ind w:left="685" w:right="149" w:hanging="570"/>
        <w:jc w:val="both"/>
        <w:rPr>
          <w:sz w:val="20"/>
        </w:rPr>
      </w:pPr>
      <w:r>
        <w:rPr>
          <w:color w:val="221F1F"/>
          <w:sz w:val="20"/>
        </w:rPr>
        <w:lastRenderedPageBreak/>
        <w:t>Pro vyloučení pochybností Strany shodně uvádějí, že ustanoveními tohoto Dodatku nejsou nijak dotčeny již vzniklé nároky Příjemce na poskytnutí bonusu za dříve ujednaná referenční období, nestanoví-li tento Dodatek výslovně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jinak.</w:t>
      </w:r>
    </w:p>
    <w:p w14:paraId="1A861594" w14:textId="77777777" w:rsidR="005E590E" w:rsidRDefault="000A2085">
      <w:pPr>
        <w:pStyle w:val="Odstavecseseznamem"/>
        <w:numPr>
          <w:ilvl w:val="1"/>
          <w:numId w:val="1"/>
        </w:numPr>
        <w:tabs>
          <w:tab w:val="left" w:pos="680"/>
        </w:tabs>
        <w:ind w:right="156" w:hanging="569"/>
        <w:jc w:val="both"/>
        <w:rPr>
          <w:sz w:val="20"/>
        </w:rPr>
      </w:pPr>
      <w:r>
        <w:rPr>
          <w:color w:val="221F1F"/>
          <w:sz w:val="20"/>
        </w:rPr>
        <w:t xml:space="preserve">Tento Dodatek je vyhotoven ve dvou vyhotoveních, z nichž každá Strana obdrží po jednom </w:t>
      </w:r>
      <w:r>
        <w:rPr>
          <w:color w:val="221F1F"/>
          <w:spacing w:val="-3"/>
          <w:sz w:val="20"/>
        </w:rPr>
        <w:t>vyhotovení.</w:t>
      </w:r>
    </w:p>
    <w:p w14:paraId="24F69C2B" w14:textId="77777777" w:rsidR="005E590E" w:rsidRDefault="000A2085">
      <w:pPr>
        <w:pStyle w:val="Odstavecseseznamem"/>
        <w:numPr>
          <w:ilvl w:val="1"/>
          <w:numId w:val="1"/>
        </w:numPr>
        <w:tabs>
          <w:tab w:val="left" w:pos="680"/>
        </w:tabs>
        <w:ind w:right="152" w:hanging="569"/>
        <w:jc w:val="both"/>
        <w:rPr>
          <w:sz w:val="20"/>
        </w:rPr>
      </w:pPr>
      <w:r>
        <w:rPr>
          <w:color w:val="221F1F"/>
          <w:sz w:val="20"/>
        </w:rPr>
        <w:t xml:space="preserve">Nedílnou součástí tohoto Dodatku je příloha č. 1 – Seznam výrobků a podmínky </w:t>
      </w:r>
      <w:r>
        <w:rPr>
          <w:color w:val="221F1F"/>
          <w:spacing w:val="-3"/>
          <w:sz w:val="20"/>
        </w:rPr>
        <w:t xml:space="preserve">vzniku </w:t>
      </w:r>
      <w:r>
        <w:rPr>
          <w:color w:val="221F1F"/>
          <w:sz w:val="20"/>
        </w:rPr>
        <w:t xml:space="preserve">nároku </w:t>
      </w:r>
      <w:r>
        <w:rPr>
          <w:color w:val="221F1F"/>
          <w:spacing w:val="-3"/>
          <w:sz w:val="20"/>
        </w:rPr>
        <w:t xml:space="preserve">na </w:t>
      </w:r>
      <w:r>
        <w:rPr>
          <w:color w:val="221F1F"/>
          <w:sz w:val="20"/>
        </w:rPr>
        <w:t>bonus a jeho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výpočet.</w:t>
      </w:r>
    </w:p>
    <w:p w14:paraId="23D1E973" w14:textId="77777777" w:rsidR="005E590E" w:rsidRDefault="000A2085">
      <w:pPr>
        <w:pStyle w:val="Nadpis1"/>
        <w:spacing w:before="121"/>
        <w:ind w:left="117"/>
      </w:pPr>
      <w:r>
        <w:rPr>
          <w:color w:val="221F1F"/>
        </w:rPr>
        <w:t>Strany prohlašují, že si tento Dodatek přečetly, že odpovídá jejich pravé a svobodné vůli, na důkaz čehož připojují své podpisy.</w:t>
      </w:r>
    </w:p>
    <w:p w14:paraId="46F5B3B9" w14:textId="77777777" w:rsidR="005E590E" w:rsidRDefault="005E590E">
      <w:pPr>
        <w:pStyle w:val="Zkladntext"/>
        <w:rPr>
          <w:b/>
          <w:sz w:val="22"/>
        </w:rPr>
      </w:pPr>
    </w:p>
    <w:p w14:paraId="5AFC9CF8" w14:textId="77777777" w:rsidR="005E590E" w:rsidRDefault="005E590E">
      <w:pPr>
        <w:pStyle w:val="Zkladntext"/>
        <w:spacing w:before="2"/>
        <w:rPr>
          <w:b/>
          <w:sz w:val="29"/>
        </w:rPr>
      </w:pPr>
    </w:p>
    <w:p w14:paraId="281EAAFD" w14:textId="77777777" w:rsidR="005E590E" w:rsidRDefault="000A2085">
      <w:pPr>
        <w:tabs>
          <w:tab w:val="left" w:pos="4867"/>
        </w:tabs>
        <w:ind w:left="226"/>
        <w:rPr>
          <w:rFonts w:ascii="Arial" w:hAnsi="Arial"/>
          <w:b/>
          <w:sz w:val="20"/>
        </w:rPr>
      </w:pPr>
      <w:r>
        <w:rPr>
          <w:rFonts w:ascii="Arial" w:hAnsi="Arial"/>
          <w:b/>
          <w:color w:val="221F1F"/>
          <w:sz w:val="20"/>
        </w:rPr>
        <w:t xml:space="preserve">Boston </w:t>
      </w:r>
      <w:proofErr w:type="spellStart"/>
      <w:r>
        <w:rPr>
          <w:rFonts w:ascii="Arial" w:hAnsi="Arial"/>
          <w:b/>
          <w:color w:val="221F1F"/>
          <w:sz w:val="20"/>
        </w:rPr>
        <w:t>Scientific</w:t>
      </w:r>
      <w:proofErr w:type="spellEnd"/>
      <w:r>
        <w:rPr>
          <w:rFonts w:ascii="Arial" w:hAnsi="Arial"/>
          <w:b/>
          <w:color w:val="221F1F"/>
          <w:sz w:val="20"/>
        </w:rPr>
        <w:t xml:space="preserve"> Česká</w:t>
      </w:r>
      <w:r>
        <w:rPr>
          <w:rFonts w:ascii="Arial" w:hAnsi="Arial"/>
          <w:b/>
          <w:color w:val="221F1F"/>
          <w:spacing w:val="-37"/>
          <w:sz w:val="20"/>
        </w:rPr>
        <w:t xml:space="preserve"> </w:t>
      </w:r>
      <w:r>
        <w:rPr>
          <w:rFonts w:ascii="Arial" w:hAnsi="Arial"/>
          <w:b/>
          <w:color w:val="221F1F"/>
          <w:sz w:val="20"/>
        </w:rPr>
        <w:t>republika</w:t>
      </w:r>
      <w:r>
        <w:rPr>
          <w:rFonts w:ascii="Arial" w:hAnsi="Arial"/>
          <w:b/>
          <w:color w:val="221F1F"/>
          <w:spacing w:val="-8"/>
          <w:sz w:val="20"/>
        </w:rPr>
        <w:t xml:space="preserve"> </w:t>
      </w:r>
      <w:r>
        <w:rPr>
          <w:rFonts w:ascii="Arial" w:hAnsi="Arial"/>
          <w:b/>
          <w:color w:val="221F1F"/>
          <w:spacing w:val="-3"/>
          <w:sz w:val="20"/>
        </w:rPr>
        <w:t>s.r.o.</w:t>
      </w:r>
      <w:r>
        <w:rPr>
          <w:rFonts w:ascii="Arial" w:hAnsi="Arial"/>
          <w:b/>
          <w:color w:val="221F1F"/>
          <w:spacing w:val="-3"/>
          <w:sz w:val="20"/>
        </w:rPr>
        <w:tab/>
      </w:r>
      <w:r>
        <w:rPr>
          <w:rFonts w:ascii="Arial" w:hAnsi="Arial"/>
          <w:b/>
          <w:color w:val="221F1F"/>
          <w:sz w:val="20"/>
        </w:rPr>
        <w:t>Oblastní nemocnice Mladá Boleslav,</w:t>
      </w:r>
      <w:r>
        <w:rPr>
          <w:rFonts w:ascii="Arial" w:hAnsi="Arial"/>
          <w:b/>
          <w:color w:val="221F1F"/>
          <w:spacing w:val="-41"/>
          <w:sz w:val="20"/>
        </w:rPr>
        <w:t xml:space="preserve"> </w:t>
      </w:r>
      <w:r>
        <w:rPr>
          <w:rFonts w:ascii="Arial" w:hAnsi="Arial"/>
          <w:b/>
          <w:color w:val="221F1F"/>
          <w:spacing w:val="-6"/>
          <w:sz w:val="20"/>
        </w:rPr>
        <w:t>a.s.</w:t>
      </w:r>
    </w:p>
    <w:p w14:paraId="3B927E08" w14:textId="77777777" w:rsidR="005E590E" w:rsidRDefault="005E590E">
      <w:pPr>
        <w:pStyle w:val="Zkladntext"/>
        <w:spacing w:before="11"/>
        <w:rPr>
          <w:b/>
        </w:rPr>
      </w:pPr>
    </w:p>
    <w:p w14:paraId="7DF9D5BD" w14:textId="0A0D423B" w:rsidR="005E590E" w:rsidRDefault="000A2085">
      <w:pPr>
        <w:pStyle w:val="Zkladntext"/>
        <w:tabs>
          <w:tab w:val="left" w:pos="4867"/>
        </w:tabs>
        <w:ind w:left="226"/>
      </w:pPr>
      <w:r>
        <w:rPr>
          <w:color w:val="221F1F"/>
        </w:rPr>
        <w:t>Datum:</w:t>
      </w:r>
      <w:r>
        <w:rPr>
          <w:color w:val="221F1F"/>
        </w:rPr>
        <w:tab/>
        <w:t>Datum:</w:t>
      </w:r>
    </w:p>
    <w:p w14:paraId="7489B5E2" w14:textId="77777777" w:rsidR="005E590E" w:rsidRDefault="005E590E">
      <w:pPr>
        <w:pStyle w:val="Zkladntext"/>
        <w:spacing w:before="3"/>
        <w:rPr>
          <w:sz w:val="26"/>
        </w:rPr>
      </w:pPr>
    </w:p>
    <w:p w14:paraId="6213939D" w14:textId="290449F9" w:rsidR="005E590E" w:rsidRDefault="000A2085">
      <w:pPr>
        <w:spacing w:before="1" w:line="244" w:lineRule="auto"/>
        <w:ind w:left="6964" w:right="692"/>
        <w:rPr>
          <w:sz w:val="11"/>
        </w:rPr>
      </w:pPr>
      <w:r>
        <w:rPr>
          <w:sz w:val="11"/>
        </w:rPr>
        <w:t xml:space="preserve"> </w:t>
      </w:r>
    </w:p>
    <w:p w14:paraId="2412D942" w14:textId="30270A5A" w:rsidR="005E590E" w:rsidRDefault="000A2085" w:rsidP="000A2085">
      <w:pPr>
        <w:pStyle w:val="Zkladntext"/>
        <w:rPr>
          <w:sz w:val="15"/>
        </w:rPr>
      </w:pPr>
      <w:r>
        <w:pict w14:anchorId="3CA9F53F">
          <v:shape id="_x0000_s2117" style="position:absolute;margin-left:308.15pt;margin-top:11.5pt;width:216.65pt;height:.1pt;z-index:-251658240;mso-wrap-distance-left:0;mso-wrap-distance-right:0;mso-position-horizontal-relative:page" coordorigin="6163,230" coordsize="4333,0" path="m6163,230r4333,e" filled="f" strokecolor="#211e1f" strokeweight=".22119mm">
            <v:path arrowok="t"/>
            <w10:wrap type="topAndBottom" anchorx="page"/>
          </v:shape>
        </w:pict>
      </w:r>
      <w:r>
        <w:rPr>
          <w:szCs w:val="28"/>
        </w:rPr>
        <w:t>_______________________________________</w:t>
      </w:r>
    </w:p>
    <w:p w14:paraId="0225900C" w14:textId="0C5662F1" w:rsidR="005E590E" w:rsidRDefault="000A2085" w:rsidP="000A2085">
      <w:pPr>
        <w:pStyle w:val="Zkladntext"/>
        <w:tabs>
          <w:tab w:val="left" w:pos="4874"/>
        </w:tabs>
        <w:spacing w:before="62"/>
      </w:pPr>
      <w:r>
        <w:rPr>
          <w:color w:val="221F1F"/>
        </w:rPr>
        <w:t>Za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prodávajícího</w:t>
      </w:r>
      <w:r>
        <w:rPr>
          <w:color w:val="221F1F"/>
        </w:rPr>
        <w:tab/>
        <w:t>Za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kupujícího</w:t>
      </w:r>
    </w:p>
    <w:p w14:paraId="7613D261" w14:textId="77777777" w:rsidR="005E590E" w:rsidRDefault="000A2085" w:rsidP="000A2085">
      <w:pPr>
        <w:pStyle w:val="Zkladntext"/>
        <w:tabs>
          <w:tab w:val="left" w:pos="4852"/>
        </w:tabs>
        <w:spacing w:before="94"/>
      </w:pPr>
      <w:r>
        <w:rPr>
          <w:color w:val="221F1F"/>
        </w:rPr>
        <w:t>M</w:t>
      </w:r>
      <w:r>
        <w:rPr>
          <w:color w:val="221F1F"/>
        </w:rPr>
        <w:t>atěj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Sahula,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prokurista</w:t>
      </w:r>
      <w:r>
        <w:rPr>
          <w:color w:val="221F1F"/>
        </w:rPr>
        <w:tab/>
        <w:t>JUDr.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Ladislav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Řípa</w:t>
      </w:r>
      <w:r>
        <w:t>,</w:t>
      </w:r>
      <w:r>
        <w:rPr>
          <w:spacing w:val="-2"/>
        </w:rPr>
        <w:t xml:space="preserve"> </w:t>
      </w:r>
      <w:r>
        <w:rPr>
          <w:color w:val="221F1F"/>
        </w:rPr>
        <w:t>předseda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představenstva</w:t>
      </w:r>
    </w:p>
    <w:p w14:paraId="717AD204" w14:textId="77777777" w:rsidR="005E590E" w:rsidRDefault="005E590E">
      <w:pPr>
        <w:pStyle w:val="Zkladntext"/>
        <w:spacing w:before="11"/>
        <w:rPr>
          <w:sz w:val="27"/>
        </w:rPr>
      </w:pPr>
    </w:p>
    <w:p w14:paraId="02F6F727" w14:textId="77777777" w:rsidR="005E590E" w:rsidRDefault="005E590E">
      <w:pPr>
        <w:spacing w:line="153" w:lineRule="exact"/>
        <w:rPr>
          <w:sz w:val="13"/>
        </w:rPr>
        <w:sectPr w:rsidR="005E590E">
          <w:pgSz w:w="11920" w:h="16850"/>
          <w:pgMar w:top="1260" w:right="960" w:bottom="1000" w:left="1300" w:header="0" w:footer="813" w:gutter="0"/>
          <w:cols w:space="708"/>
        </w:sectPr>
      </w:pPr>
    </w:p>
    <w:p w14:paraId="57745148" w14:textId="458C1AD1" w:rsidR="005E590E" w:rsidRDefault="005E590E">
      <w:pPr>
        <w:rPr>
          <w:sz w:val="20"/>
        </w:rPr>
      </w:pPr>
    </w:p>
    <w:p w14:paraId="245F2741" w14:textId="77777777" w:rsidR="005E590E" w:rsidRDefault="005E590E">
      <w:pPr>
        <w:spacing w:before="10"/>
        <w:rPr>
          <w:sz w:val="20"/>
        </w:rPr>
      </w:pPr>
    </w:p>
    <w:p w14:paraId="7171A8E6" w14:textId="77777777" w:rsidR="005E590E" w:rsidRDefault="000A2085">
      <w:pPr>
        <w:pStyle w:val="Zkladntext"/>
        <w:ind w:left="111"/>
      </w:pPr>
      <w:bookmarkStart w:id="5" w:name="Příloha_č._1_Dodatku"/>
      <w:bookmarkStart w:id="6" w:name="PŘÍLOHA_Č._1"/>
      <w:bookmarkEnd w:id="5"/>
      <w:bookmarkEnd w:id="6"/>
      <w:r>
        <w:rPr>
          <w:color w:val="221F1F"/>
        </w:rPr>
        <w:t>Příloha č. 1 Dodatku</w:t>
      </w:r>
    </w:p>
    <w:p w14:paraId="306979EA" w14:textId="77777777" w:rsidR="005E590E" w:rsidRDefault="000A2085">
      <w:pPr>
        <w:spacing w:before="82"/>
        <w:ind w:left="164" w:right="110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21F1F"/>
          <w:sz w:val="20"/>
          <w:u w:val="thick" w:color="221F1F"/>
        </w:rPr>
        <w:t>PŘÍLOHA Č. 1</w:t>
      </w:r>
    </w:p>
    <w:p w14:paraId="71C46B4E" w14:textId="264DA8ED" w:rsidR="005E590E" w:rsidRDefault="000A2085" w:rsidP="000A2085">
      <w:pPr>
        <w:pStyle w:val="Zkladntext"/>
        <w:spacing w:before="118"/>
        <w:ind w:left="156" w:right="11020"/>
        <w:jc w:val="center"/>
        <w:rPr>
          <w:b/>
          <w:sz w:val="16"/>
        </w:rPr>
      </w:pPr>
      <w:r>
        <w:rPr>
          <w:color w:val="221F1F"/>
        </w:rPr>
        <w:t>(OBCHODNÍ TAJEMSTVÍ)</w:t>
      </w:r>
    </w:p>
    <w:sectPr w:rsidR="005E590E" w:rsidSect="000A2085">
      <w:footerReference w:type="default" r:id="rId8"/>
      <w:pgSz w:w="16850" w:h="11920" w:orient="landscape"/>
      <w:pgMar w:top="1100" w:right="660" w:bottom="880" w:left="880" w:header="0" w:footer="6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0B020" w14:textId="77777777" w:rsidR="000A2085" w:rsidRDefault="000A2085">
      <w:r>
        <w:separator/>
      </w:r>
    </w:p>
  </w:endnote>
  <w:endnote w:type="continuationSeparator" w:id="0">
    <w:p w14:paraId="0C00EC2C" w14:textId="77777777" w:rsidR="000A2085" w:rsidRDefault="000A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C83D" w14:textId="77777777" w:rsidR="005E590E" w:rsidRDefault="000A2085">
    <w:pPr>
      <w:pStyle w:val="Zkladntext"/>
      <w:spacing w:line="14" w:lineRule="auto"/>
    </w:pPr>
    <w:r>
      <w:pict w14:anchorId="7C8FB40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6.65pt;margin-top:790.4pt;width:12.35pt;height:10.45pt;z-index:-271385600;mso-position-horizontal-relative:page;mso-position-vertical-relative:page" filled="f" stroked="f">
          <v:textbox inset="0,0,0,0">
            <w:txbxContent>
              <w:p w14:paraId="5B78F7D0" w14:textId="77777777" w:rsidR="005E590E" w:rsidRDefault="000A2085">
                <w:pPr>
                  <w:spacing w:before="16"/>
                  <w:ind w:left="60"/>
                  <w:rPr>
                    <w:rFonts w:ascii="Arial"/>
                    <w:b/>
                    <w:sz w:val="15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221F1F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221F1F"/>
                    <w:sz w:val="15"/>
                  </w:rPr>
                  <w:t xml:space="preserve"> /</w:t>
                </w:r>
              </w:p>
            </w:txbxContent>
          </v:textbox>
          <w10:wrap anchorx="page" anchory="page"/>
        </v:shape>
      </w:pict>
    </w:r>
    <w:r>
      <w:pict w14:anchorId="2FFAE5B6">
        <v:shape id="_x0000_s1028" type="#_x0000_t202" style="position:absolute;margin-left:115.75pt;margin-top:792.6pt;width:375.95pt;height:9.8pt;z-index:-271384576;mso-position-horizontal-relative:page;mso-position-vertical-relative:page" filled="f" stroked="f">
          <v:textbox inset="0,0,0,0">
            <w:txbxContent>
              <w:p w14:paraId="6E2CAA11" w14:textId="77777777" w:rsidR="005E590E" w:rsidRDefault="000A2085">
                <w:pPr>
                  <w:spacing w:before="14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 xml:space="preserve">G:\Contracts\Customers\_Contracts </w:t>
                </w:r>
                <w:proofErr w:type="spellStart"/>
                <w:r>
                  <w:rPr>
                    <w:rFonts w:ascii="Arial"/>
                    <w:sz w:val="14"/>
                  </w:rPr>
                  <w:t>since</w:t>
                </w:r>
                <w:proofErr w:type="spellEnd"/>
                <w:r>
                  <w:rPr>
                    <w:rFonts w:ascii="Arial"/>
                    <w:sz w:val="14"/>
                  </w:rPr>
                  <w:t xml:space="preserve"> 2018\Hospitals\Oblastni_nemocnice_Mlada_Boleslav\2025\PI_obchodni_2008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52DD" w14:textId="77777777" w:rsidR="005E590E" w:rsidRDefault="000A2085">
    <w:pPr>
      <w:pStyle w:val="Zkladntext"/>
      <w:spacing w:line="14" w:lineRule="auto"/>
    </w:pPr>
    <w:r>
      <w:pict w14:anchorId="2B90C52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8.65pt;margin-top:790.4pt;width:14.55pt;height:10.45pt;z-index:-271382528;mso-position-horizontal-relative:page;mso-position-vertical-relative:page" filled="f" stroked="f">
          <v:textbox inset="0,0,0,0">
            <w:txbxContent>
              <w:p w14:paraId="7BF7A798" w14:textId="77777777" w:rsidR="005E590E" w:rsidRDefault="000A2085">
                <w:pPr>
                  <w:spacing w:before="16"/>
                  <w:ind w:left="20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color w:val="221F1F"/>
                    <w:sz w:val="15"/>
                  </w:rPr>
                  <w:t>26 /</w:t>
                </w:r>
              </w:p>
            </w:txbxContent>
          </v:textbox>
          <w10:wrap anchorx="page" anchory="page"/>
        </v:shape>
      </w:pict>
    </w:r>
    <w:r>
      <w:pict w14:anchorId="6BE8B3D9">
        <v:shape id="_x0000_s1025" type="#_x0000_t202" style="position:absolute;margin-left:117.2pt;margin-top:793pt;width:375.95pt;height:9.8pt;z-index:-271381504;mso-position-horizontal-relative:page;mso-position-vertical-relative:page" filled="f" stroked="f">
          <v:textbox inset="0,0,0,0">
            <w:txbxContent>
              <w:p w14:paraId="0AB9D28A" w14:textId="77777777" w:rsidR="005E590E" w:rsidRDefault="000A2085">
                <w:pPr>
                  <w:spacing w:before="14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 xml:space="preserve">G:\Contracts\Customers\_Contracts </w:t>
                </w:r>
                <w:proofErr w:type="spellStart"/>
                <w:r>
                  <w:rPr>
                    <w:rFonts w:ascii="Arial"/>
                    <w:sz w:val="14"/>
                  </w:rPr>
                  <w:t>since</w:t>
                </w:r>
                <w:proofErr w:type="spellEnd"/>
                <w:r>
                  <w:rPr>
                    <w:rFonts w:ascii="Arial"/>
                    <w:sz w:val="14"/>
                  </w:rPr>
                  <w:t xml:space="preserve"> 2018\Hospitals\Oblastni_nemocnice_Mlada_Boleslav\2025\PI_obchodni_2008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1EF8" w14:textId="77777777" w:rsidR="000A2085" w:rsidRDefault="000A2085">
      <w:r>
        <w:separator/>
      </w:r>
    </w:p>
  </w:footnote>
  <w:footnote w:type="continuationSeparator" w:id="0">
    <w:p w14:paraId="282D1399" w14:textId="77777777" w:rsidR="000A2085" w:rsidRDefault="000A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53229"/>
    <w:multiLevelType w:val="hybridMultilevel"/>
    <w:tmpl w:val="2962DC9E"/>
    <w:lvl w:ilvl="0" w:tplc="1D9A04CE">
      <w:start w:val="1"/>
      <w:numFmt w:val="decimal"/>
      <w:lvlText w:val="(%1)"/>
      <w:lvlJc w:val="left"/>
      <w:pPr>
        <w:ind w:left="684" w:hanging="567"/>
        <w:jc w:val="left"/>
      </w:pPr>
      <w:rPr>
        <w:rFonts w:ascii="Arial" w:eastAsia="Arial" w:hAnsi="Arial" w:cs="Arial" w:hint="default"/>
        <w:color w:val="221F1F"/>
        <w:spacing w:val="-4"/>
        <w:w w:val="98"/>
        <w:sz w:val="20"/>
        <w:szCs w:val="20"/>
        <w:lang w:val="cs-CZ" w:eastAsia="cs-CZ" w:bidi="cs-CZ"/>
      </w:rPr>
    </w:lvl>
    <w:lvl w:ilvl="1" w:tplc="C9AC64BC">
      <w:start w:val="1"/>
      <w:numFmt w:val="upperLetter"/>
      <w:lvlText w:val="(%2)"/>
      <w:lvlJc w:val="left"/>
      <w:pPr>
        <w:ind w:left="684" w:hanging="569"/>
        <w:jc w:val="left"/>
      </w:pPr>
      <w:rPr>
        <w:rFonts w:ascii="Arial" w:eastAsia="Arial" w:hAnsi="Arial" w:cs="Arial" w:hint="default"/>
        <w:color w:val="221F1F"/>
        <w:spacing w:val="-4"/>
        <w:w w:val="98"/>
        <w:sz w:val="20"/>
        <w:szCs w:val="20"/>
        <w:lang w:val="cs-CZ" w:eastAsia="cs-CZ" w:bidi="cs-CZ"/>
      </w:rPr>
    </w:lvl>
    <w:lvl w:ilvl="2" w:tplc="D5DE3312">
      <w:numFmt w:val="bullet"/>
      <w:lvlText w:val="•"/>
      <w:lvlJc w:val="left"/>
      <w:pPr>
        <w:ind w:left="2474" w:hanging="569"/>
      </w:pPr>
      <w:rPr>
        <w:rFonts w:hint="default"/>
        <w:lang w:val="cs-CZ" w:eastAsia="cs-CZ" w:bidi="cs-CZ"/>
      </w:rPr>
    </w:lvl>
    <w:lvl w:ilvl="3" w:tplc="89AC1DE2">
      <w:numFmt w:val="bullet"/>
      <w:lvlText w:val="•"/>
      <w:lvlJc w:val="left"/>
      <w:pPr>
        <w:ind w:left="3371" w:hanging="569"/>
      </w:pPr>
      <w:rPr>
        <w:rFonts w:hint="default"/>
        <w:lang w:val="cs-CZ" w:eastAsia="cs-CZ" w:bidi="cs-CZ"/>
      </w:rPr>
    </w:lvl>
    <w:lvl w:ilvl="4" w:tplc="EB7695F4">
      <w:numFmt w:val="bullet"/>
      <w:lvlText w:val="•"/>
      <w:lvlJc w:val="left"/>
      <w:pPr>
        <w:ind w:left="4268" w:hanging="569"/>
      </w:pPr>
      <w:rPr>
        <w:rFonts w:hint="default"/>
        <w:lang w:val="cs-CZ" w:eastAsia="cs-CZ" w:bidi="cs-CZ"/>
      </w:rPr>
    </w:lvl>
    <w:lvl w:ilvl="5" w:tplc="1F3EF510">
      <w:numFmt w:val="bullet"/>
      <w:lvlText w:val="•"/>
      <w:lvlJc w:val="left"/>
      <w:pPr>
        <w:ind w:left="5165" w:hanging="569"/>
      </w:pPr>
      <w:rPr>
        <w:rFonts w:hint="default"/>
        <w:lang w:val="cs-CZ" w:eastAsia="cs-CZ" w:bidi="cs-CZ"/>
      </w:rPr>
    </w:lvl>
    <w:lvl w:ilvl="6" w:tplc="EBEC5B54">
      <w:numFmt w:val="bullet"/>
      <w:lvlText w:val="•"/>
      <w:lvlJc w:val="left"/>
      <w:pPr>
        <w:ind w:left="6062" w:hanging="569"/>
      </w:pPr>
      <w:rPr>
        <w:rFonts w:hint="default"/>
        <w:lang w:val="cs-CZ" w:eastAsia="cs-CZ" w:bidi="cs-CZ"/>
      </w:rPr>
    </w:lvl>
    <w:lvl w:ilvl="7" w:tplc="2A020AD2">
      <w:numFmt w:val="bullet"/>
      <w:lvlText w:val="•"/>
      <w:lvlJc w:val="left"/>
      <w:pPr>
        <w:ind w:left="6959" w:hanging="569"/>
      </w:pPr>
      <w:rPr>
        <w:rFonts w:hint="default"/>
        <w:lang w:val="cs-CZ" w:eastAsia="cs-CZ" w:bidi="cs-CZ"/>
      </w:rPr>
    </w:lvl>
    <w:lvl w:ilvl="8" w:tplc="5C00CB1C">
      <w:numFmt w:val="bullet"/>
      <w:lvlText w:val="•"/>
      <w:lvlJc w:val="left"/>
      <w:pPr>
        <w:ind w:left="7856" w:hanging="569"/>
      </w:pPr>
      <w:rPr>
        <w:rFonts w:hint="default"/>
        <w:lang w:val="cs-CZ" w:eastAsia="cs-CZ" w:bidi="cs-CZ"/>
      </w:rPr>
    </w:lvl>
  </w:abstractNum>
  <w:abstractNum w:abstractNumId="1" w15:restartNumberingAfterBreak="0">
    <w:nsid w:val="7FDD1BD3"/>
    <w:multiLevelType w:val="multilevel"/>
    <w:tmpl w:val="A5EE2A8C"/>
    <w:lvl w:ilvl="0">
      <w:start w:val="1"/>
      <w:numFmt w:val="decimal"/>
      <w:lvlText w:val="%1."/>
      <w:lvlJc w:val="left"/>
      <w:pPr>
        <w:ind w:left="684" w:hanging="567"/>
        <w:jc w:val="left"/>
      </w:pPr>
      <w:rPr>
        <w:rFonts w:ascii="Arial" w:eastAsia="Arial" w:hAnsi="Arial" w:cs="Arial" w:hint="default"/>
        <w:b/>
        <w:bCs/>
        <w:color w:val="221F1F"/>
        <w:spacing w:val="-2"/>
        <w:w w:val="98"/>
        <w:sz w:val="20"/>
        <w:szCs w:val="20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4" w:hanging="567"/>
        <w:jc w:val="left"/>
      </w:pPr>
      <w:rPr>
        <w:rFonts w:ascii="Arial" w:eastAsia="Arial" w:hAnsi="Arial" w:cs="Arial" w:hint="default"/>
        <w:b/>
        <w:bCs/>
        <w:color w:val="221F1F"/>
        <w:spacing w:val="-2"/>
        <w:w w:val="98"/>
        <w:sz w:val="20"/>
        <w:szCs w:val="20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795" w:hanging="567"/>
        <w:jc w:val="right"/>
      </w:pPr>
      <w:rPr>
        <w:rFonts w:ascii="Arial" w:eastAsia="Arial" w:hAnsi="Arial" w:cs="Arial" w:hint="default"/>
        <w:b/>
        <w:bCs/>
        <w:color w:val="221F1F"/>
        <w:spacing w:val="-2"/>
        <w:w w:val="98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2766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5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3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17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0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4" w:hanging="567"/>
      </w:pPr>
      <w:rPr>
        <w:rFonts w:hint="default"/>
        <w:lang w:val="cs-CZ" w:eastAsia="cs-CZ" w:bidi="cs-CZ"/>
      </w:rPr>
    </w:lvl>
  </w:abstractNum>
  <w:num w:numId="1" w16cid:durableId="1842743621">
    <w:abstractNumId w:val="1"/>
  </w:num>
  <w:num w:numId="2" w16cid:durableId="46828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90E"/>
    <w:rsid w:val="000A2085"/>
    <w:rsid w:val="005E590E"/>
    <w:rsid w:val="00C8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"/>
    <o:shapelayout v:ext="edit">
      <o:idmap v:ext="edit" data="2"/>
    </o:shapelayout>
  </w:shapeDefaults>
  <w:decimalSymbol w:val=","/>
  <w:listSeparator w:val=";"/>
  <w14:docId w14:val="21A4C783"/>
  <w15:docId w15:val="{11AB1E85-5651-4A50-B6CF-AC2810AD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6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84" w:hanging="567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  <w:pPr>
      <w:spacing w:before="77"/>
      <w:ind w:left="95" w:right="9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2620</Characters>
  <Application>Microsoft Office Word</Application>
  <DocSecurity>0</DocSecurity>
  <Lines>21</Lines>
  <Paragraphs>6</Paragraphs>
  <ScaleCrop>false</ScaleCrop>
  <Company>ONMB a.s.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Faltova, Iva</dc:creator>
  <cp:lastModifiedBy>Kučera Ondřej | ONMB</cp:lastModifiedBy>
  <cp:revision>2</cp:revision>
  <dcterms:created xsi:type="dcterms:W3CDTF">2025-06-03T05:31:00Z</dcterms:created>
  <dcterms:modified xsi:type="dcterms:W3CDTF">2025-06-03T05:35:00Z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2025-06-03T00:00:00Z</vt:filetime>
  </property>
</Properties>
</file>