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61B1" w14:textId="77777777" w:rsidR="0082205D" w:rsidRDefault="0082205D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2EC9D68" w14:textId="77777777" w:rsidR="006E77CF" w:rsidRDefault="006E77CF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6DFBF18" w14:textId="77777777" w:rsidR="0082205D" w:rsidRPr="00F61406" w:rsidRDefault="0082205D" w:rsidP="0082205D">
      <w:pPr>
        <w:spacing w:after="0" w:line="240" w:lineRule="auto"/>
        <w:ind w:left="2552" w:hanging="2552"/>
        <w:rPr>
          <w:rFonts w:eastAsia="Times New Roman"/>
          <w:b/>
          <w:bCs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Společnost:</w:t>
      </w:r>
      <w:r w:rsidRPr="000B5DCF">
        <w:rPr>
          <w:rFonts w:eastAsia="Times New Roman"/>
          <w:sz w:val="20"/>
          <w:szCs w:val="20"/>
          <w:lang w:eastAsia="cs-CZ"/>
        </w:rPr>
        <w:tab/>
      </w:r>
      <w:r w:rsidRPr="00364CBA">
        <w:rPr>
          <w:rFonts w:eastAsia="Times New Roman"/>
          <w:b/>
          <w:bCs/>
          <w:sz w:val="20"/>
          <w:szCs w:val="20"/>
          <w:lang w:eastAsia="cs-CZ"/>
        </w:rPr>
        <w:t>Dragon Internet a.s.</w:t>
      </w:r>
    </w:p>
    <w:p w14:paraId="30B2F70D" w14:textId="77777777" w:rsidR="0082205D" w:rsidRPr="000B5DCF" w:rsidRDefault="0082205D" w:rsidP="0082205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0B5DCF">
        <w:rPr>
          <w:rFonts w:eastAsia="Times New Roman"/>
          <w:sz w:val="20"/>
          <w:szCs w:val="20"/>
          <w:lang w:eastAsia="cs-CZ"/>
        </w:rPr>
        <w:t>:</w:t>
      </w:r>
      <w:r w:rsidRPr="000B5DCF">
        <w:rPr>
          <w:rFonts w:eastAsia="Times New Roman"/>
          <w:sz w:val="20"/>
          <w:szCs w:val="20"/>
          <w:lang w:eastAsia="cs-CZ"/>
        </w:rPr>
        <w:tab/>
      </w:r>
      <w:r w:rsidRPr="00364CBA">
        <w:rPr>
          <w:rFonts w:eastAsia="Times New Roman"/>
          <w:sz w:val="20"/>
          <w:szCs w:val="20"/>
          <w:lang w:eastAsia="cs-CZ"/>
        </w:rPr>
        <w:t>272 37 800</w:t>
      </w:r>
    </w:p>
    <w:p w14:paraId="5CBC86D0" w14:textId="77777777" w:rsidR="0082205D" w:rsidRPr="000B5DCF" w:rsidRDefault="0082205D" w:rsidP="0082205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D</w:t>
      </w:r>
      <w:r>
        <w:rPr>
          <w:rFonts w:eastAsia="Times New Roman"/>
          <w:sz w:val="20"/>
          <w:szCs w:val="20"/>
          <w:lang w:eastAsia="cs-CZ"/>
        </w:rPr>
        <w:t>I</w:t>
      </w:r>
      <w:r w:rsidRPr="000B5DCF">
        <w:rPr>
          <w:rFonts w:eastAsia="Times New Roman"/>
          <w:sz w:val="20"/>
          <w:szCs w:val="20"/>
          <w:lang w:eastAsia="cs-CZ"/>
        </w:rPr>
        <w:t>Č:</w:t>
      </w:r>
      <w:r w:rsidRPr="000B5DCF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</w:t>
      </w:r>
      <w:r w:rsidRPr="00364CBA">
        <w:rPr>
          <w:rFonts w:eastAsia="Times New Roman"/>
          <w:sz w:val="20"/>
          <w:szCs w:val="20"/>
          <w:lang w:eastAsia="cs-CZ"/>
        </w:rPr>
        <w:t>27237800</w:t>
      </w:r>
    </w:p>
    <w:p w14:paraId="478CB247" w14:textId="77777777" w:rsidR="0082205D" w:rsidRPr="000B5DCF" w:rsidRDefault="0082205D" w:rsidP="0082205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Se sídlem:</w:t>
      </w:r>
      <w:r w:rsidRPr="000B5DCF">
        <w:rPr>
          <w:rFonts w:eastAsia="Times New Roman"/>
          <w:sz w:val="20"/>
          <w:szCs w:val="20"/>
          <w:lang w:eastAsia="cs-CZ"/>
        </w:rPr>
        <w:tab/>
      </w:r>
      <w:r w:rsidRPr="00364CBA">
        <w:rPr>
          <w:rFonts w:eastAsia="Times New Roman"/>
          <w:sz w:val="20"/>
          <w:szCs w:val="20"/>
          <w:lang w:eastAsia="cs-CZ"/>
        </w:rPr>
        <w:t>Kosmonosy, Pod Loretou 883, PSČ 293 06</w:t>
      </w:r>
    </w:p>
    <w:p w14:paraId="7BA02A07" w14:textId="77777777" w:rsidR="0082205D" w:rsidRPr="000B5DCF" w:rsidRDefault="0082205D" w:rsidP="0082205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>Zastoupená:</w:t>
      </w:r>
      <w:r w:rsidRPr="000B5DCF">
        <w:rPr>
          <w:rFonts w:eastAsia="Times New Roman"/>
          <w:sz w:val="20"/>
          <w:szCs w:val="20"/>
          <w:lang w:eastAsia="cs-CZ"/>
        </w:rPr>
        <w:tab/>
      </w:r>
      <w:r w:rsidRPr="00364CBA">
        <w:rPr>
          <w:rFonts w:eastAsia="Times New Roman"/>
          <w:sz w:val="20"/>
          <w:szCs w:val="20"/>
          <w:lang w:eastAsia="cs-CZ"/>
        </w:rPr>
        <w:t>Tomáš Dragon, předsed</w:t>
      </w:r>
      <w:r>
        <w:rPr>
          <w:rFonts w:eastAsia="Times New Roman"/>
          <w:sz w:val="20"/>
          <w:szCs w:val="20"/>
          <w:lang w:eastAsia="cs-CZ"/>
        </w:rPr>
        <w:t>a</w:t>
      </w:r>
      <w:r w:rsidRPr="00364CBA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A793F62" w14:textId="77777777" w:rsidR="0082205D" w:rsidRDefault="0082205D" w:rsidP="0082205D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B5DCF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Pr="00364CBA">
        <w:rPr>
          <w:rFonts w:eastAsia="Times New Roman"/>
          <w:sz w:val="20"/>
          <w:szCs w:val="20"/>
          <w:lang w:eastAsia="cs-CZ"/>
        </w:rPr>
        <w:t xml:space="preserve">Městského soudu v Praze, oddíl B, vložka </w:t>
      </w:r>
      <w:r>
        <w:rPr>
          <w:rFonts w:eastAsia="Times New Roman"/>
          <w:sz w:val="20"/>
          <w:szCs w:val="20"/>
          <w:lang w:eastAsia="cs-CZ"/>
        </w:rPr>
        <w:t>9923</w:t>
      </w:r>
    </w:p>
    <w:p w14:paraId="10F6CB3E" w14:textId="77777777" w:rsidR="0082205D" w:rsidRDefault="0082205D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68F4D5" w14:textId="5C610482" w:rsidR="00547331" w:rsidRPr="00B93854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13857E5A" w14:textId="77777777" w:rsidR="00547331" w:rsidRPr="00B93854" w:rsidRDefault="00547331" w:rsidP="00547331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34CF68D" w14:textId="77777777" w:rsidR="00547331" w:rsidRPr="00B93854" w:rsidRDefault="00547331" w:rsidP="00547331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A9B2703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D3462E0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0DC2127B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694BA9C2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6BC76B5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722C190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B6899E9" w14:textId="77777777" w:rsidR="00547331" w:rsidRPr="00B93854" w:rsidRDefault="00547331" w:rsidP="00547331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6E56F5D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EE1608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AD0032E" w14:textId="77777777" w:rsidR="00547331" w:rsidRPr="00B93854" w:rsidRDefault="00547331" w:rsidP="0054733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916C020" w14:textId="77777777" w:rsidR="00547331" w:rsidRDefault="00547331" w:rsidP="0054733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8D538E2" w14:textId="77777777" w:rsidR="00547331" w:rsidRPr="00B93854" w:rsidRDefault="00547331" w:rsidP="0054733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36F404DA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A6AF55D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453C648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CEA754D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9A2C6D7" w14:textId="77777777" w:rsidR="00547331" w:rsidRPr="00B93854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24B304F7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D24FED" w14:textId="77777777" w:rsidR="00547331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950E28E" w14:textId="77777777" w:rsidR="00547331" w:rsidRPr="0016146E" w:rsidRDefault="00547331" w:rsidP="0054733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F1048EB" w14:textId="77777777" w:rsidR="00547331" w:rsidRPr="0016146E" w:rsidRDefault="00547331" w:rsidP="00547331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7ECA15FE" w14:textId="77777777" w:rsidR="00547331" w:rsidRDefault="00547331" w:rsidP="00547331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9BA9B13" w14:textId="77777777" w:rsidR="00547331" w:rsidRDefault="00547331" w:rsidP="00547331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6DBEDA8" w14:textId="77777777" w:rsidR="00547331" w:rsidRPr="0016146E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394A5A" w14:textId="44C7762D" w:rsidR="00547331" w:rsidRPr="009360F0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>Předmětem této smlouvy je závazek prodávajícího dodat</w:t>
      </w:r>
      <w:r w:rsidR="00995EEE">
        <w:rPr>
          <w:rFonts w:ascii="Verdana" w:hAnsi="Verdana"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 xml:space="preserve">kupujícímu nové a nepoužité zařízení: </w:t>
      </w:r>
      <w:r w:rsidR="004F040C" w:rsidRPr="004F040C">
        <w:rPr>
          <w:rFonts w:ascii="Verdana" w:hAnsi="Verdana"/>
          <w:b/>
          <w:bCs/>
          <w:sz w:val="20"/>
          <w:lang w:eastAsia="cs-CZ"/>
        </w:rPr>
        <w:t>9ks</w:t>
      </w:r>
      <w:r w:rsidR="004F040C">
        <w:rPr>
          <w:rFonts w:ascii="Verdana" w:hAnsi="Verdana"/>
          <w:sz w:val="20"/>
          <w:lang w:eastAsia="cs-CZ"/>
        </w:rPr>
        <w:t xml:space="preserve"> </w:t>
      </w:r>
      <w:r w:rsidR="00D0025F">
        <w:rPr>
          <w:rFonts w:ascii="Verdana" w:hAnsi="Verdana"/>
          <w:b/>
          <w:bCs/>
          <w:sz w:val="20"/>
          <w:lang w:eastAsia="cs-CZ"/>
        </w:rPr>
        <w:t>diskové</w:t>
      </w:r>
      <w:r w:rsidR="004F040C">
        <w:rPr>
          <w:rFonts w:ascii="Verdana" w:hAnsi="Verdana"/>
          <w:b/>
          <w:bCs/>
          <w:sz w:val="20"/>
          <w:lang w:eastAsia="cs-CZ"/>
        </w:rPr>
        <w:t>ho</w:t>
      </w:r>
      <w:r w:rsidR="00D0025F">
        <w:rPr>
          <w:rFonts w:ascii="Verdana" w:hAnsi="Verdana"/>
          <w:b/>
          <w:bCs/>
          <w:sz w:val="20"/>
          <w:lang w:eastAsia="cs-CZ"/>
        </w:rPr>
        <w:t xml:space="preserve"> pole HUAWEI </w:t>
      </w:r>
      <w:r w:rsidR="00D0025F" w:rsidRPr="004B4D15">
        <w:rPr>
          <w:rFonts w:ascii="Verdana" w:hAnsi="Verdana"/>
          <w:b/>
          <w:bCs/>
          <w:sz w:val="20"/>
          <w:lang w:eastAsia="cs-CZ"/>
        </w:rPr>
        <w:t>SSD NVMe Palm Disk Unit (7“)</w:t>
      </w:r>
      <w:r w:rsidRPr="004B4D15">
        <w:rPr>
          <w:rFonts w:ascii="Verdana" w:hAnsi="Verdana"/>
          <w:b/>
          <w:bCs/>
          <w:sz w:val="20"/>
          <w:lang w:eastAsia="cs-CZ"/>
        </w:rPr>
        <w:t xml:space="preserve"> </w:t>
      </w:r>
      <w:r w:rsidR="004B4D15" w:rsidRPr="004B4D15">
        <w:rPr>
          <w:rFonts w:ascii="Verdana" w:hAnsi="Verdana"/>
          <w:b/>
          <w:bCs/>
          <w:sz w:val="20"/>
          <w:lang w:eastAsia="cs-CZ"/>
        </w:rPr>
        <w:t>s kapacitou 1</w:t>
      </w:r>
      <w:r w:rsidR="000D394F" w:rsidRPr="004B4D15">
        <w:rPr>
          <w:rFonts w:ascii="Verdana" w:hAnsi="Verdana"/>
          <w:b/>
          <w:bCs/>
          <w:sz w:val="20"/>
          <w:lang w:eastAsia="cs-CZ"/>
        </w:rPr>
        <w:t>5,36 Tb</w:t>
      </w:r>
      <w:r w:rsidR="000D394F">
        <w:rPr>
          <w:rFonts w:ascii="Verdana" w:hAnsi="Verdana"/>
          <w:sz w:val="20"/>
          <w:lang w:eastAsia="cs-CZ"/>
        </w:rPr>
        <w:t xml:space="preserve"> (tj. 138,24 Tb celkem)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26E65682" w14:textId="6ED46B6C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 je blíže specifikováno</w:t>
      </w:r>
      <w:r w:rsidR="00B647AB">
        <w:rPr>
          <w:rFonts w:ascii="Verdana" w:hAnsi="Verdana"/>
          <w:sz w:val="20"/>
          <w:lang w:eastAsia="cs-CZ"/>
        </w:rPr>
        <w:t xml:space="preserve"> </w:t>
      </w:r>
      <w:r w:rsidR="00B647AB" w:rsidRPr="00863CAD">
        <w:rPr>
          <w:rFonts w:ascii="Verdana" w:hAnsi="Verdana"/>
          <w:sz w:val="20"/>
          <w:lang w:eastAsia="cs-CZ"/>
        </w:rPr>
        <w:t xml:space="preserve">v nabídce </w:t>
      </w:r>
      <w:r w:rsidR="008C5482">
        <w:rPr>
          <w:rFonts w:ascii="Verdana" w:hAnsi="Verdana"/>
          <w:sz w:val="20"/>
          <w:lang w:eastAsia="cs-CZ"/>
        </w:rPr>
        <w:t>prodávajícího ze dne 12.5.2025,</w:t>
      </w:r>
      <w:r w:rsidR="00B647AB" w:rsidRPr="00863CAD">
        <w:rPr>
          <w:rFonts w:ascii="Verdana" w:hAnsi="Verdana"/>
          <w:sz w:val="20"/>
          <w:lang w:eastAsia="cs-CZ"/>
        </w:rPr>
        <w:t xml:space="preserve"> která tvoří přílohu č. 1 této smlouvy</w:t>
      </w:r>
      <w:r w:rsidR="00B647AB">
        <w:rPr>
          <w:rFonts w:ascii="Verdana" w:hAnsi="Verdana"/>
          <w:sz w:val="20"/>
          <w:lang w:eastAsia="cs-CZ"/>
        </w:rPr>
        <w:t>.</w:t>
      </w:r>
    </w:p>
    <w:p w14:paraId="17DF0BF9" w14:textId="77777777" w:rsidR="0067217D" w:rsidRDefault="0067217D" w:rsidP="0067217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Součástí předmětu plnění dle této smlouvy je rovněž:</w:t>
      </w:r>
    </w:p>
    <w:p w14:paraId="62DAFC1D" w14:textId="2D786E1E" w:rsidR="0067217D" w:rsidRPr="00B3569A" w:rsidRDefault="0067217D" w:rsidP="0067217D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 xml:space="preserve">zařízení </w:t>
      </w:r>
      <w:r w:rsidRPr="00B3569A">
        <w:rPr>
          <w:rFonts w:ascii="Verdana" w:hAnsi="Verdana"/>
          <w:sz w:val="20"/>
          <w:lang w:eastAsia="cs-CZ"/>
        </w:rPr>
        <w:t>do sídla kupujícího</w:t>
      </w:r>
      <w:r>
        <w:rPr>
          <w:rFonts w:ascii="Verdana" w:hAnsi="Verdana"/>
          <w:sz w:val="20"/>
          <w:lang w:eastAsia="cs-CZ"/>
        </w:rPr>
        <w:t>,</w:t>
      </w:r>
    </w:p>
    <w:p w14:paraId="0606C845" w14:textId="6CF6629B" w:rsidR="0067217D" w:rsidRDefault="0067217D" w:rsidP="0067217D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bookmarkStart w:id="0" w:name="_Hlk111096543"/>
      <w:r>
        <w:rPr>
          <w:rFonts w:ascii="Verdana" w:hAnsi="Verdana"/>
          <w:sz w:val="20"/>
          <w:lang w:eastAsia="cs-CZ"/>
        </w:rPr>
        <w:t xml:space="preserve">záruka za jakost zařízení v délce 24 měsíců </w:t>
      </w:r>
      <w:r w:rsidRPr="005325A5">
        <w:rPr>
          <w:rFonts w:ascii="Verdana" w:hAnsi="Verdana"/>
          <w:sz w:val="20"/>
          <w:lang w:eastAsia="cs-CZ"/>
        </w:rPr>
        <w:t xml:space="preserve">ode dne dodání </w:t>
      </w:r>
      <w:r>
        <w:rPr>
          <w:rFonts w:ascii="Verdana" w:hAnsi="Verdana"/>
          <w:sz w:val="20"/>
          <w:lang w:eastAsia="cs-CZ"/>
        </w:rPr>
        <w:t>zařízení</w:t>
      </w:r>
      <w:r w:rsidRPr="005325A5">
        <w:rPr>
          <w:rFonts w:ascii="Verdana" w:hAnsi="Verdana"/>
          <w:sz w:val="20"/>
          <w:lang w:eastAsia="cs-CZ"/>
        </w:rPr>
        <w:t xml:space="preserve"> kupujícímu</w:t>
      </w:r>
      <w:bookmarkEnd w:id="0"/>
      <w:r>
        <w:rPr>
          <w:rFonts w:ascii="Verdana" w:hAnsi="Verdana"/>
          <w:sz w:val="20"/>
          <w:lang w:eastAsia="cs-CZ"/>
        </w:rPr>
        <w:t>,</w:t>
      </w:r>
    </w:p>
    <w:p w14:paraId="4D3DA97A" w14:textId="7F81A18B" w:rsidR="0067217D" w:rsidRPr="000308EE" w:rsidRDefault="0067217D" w:rsidP="0067217D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0308EE">
        <w:rPr>
          <w:rFonts w:ascii="Verdana" w:hAnsi="Verdana"/>
          <w:sz w:val="20"/>
          <w:lang w:eastAsia="cs-CZ"/>
        </w:rPr>
        <w:lastRenderedPageBreak/>
        <w:t>veškeré poplatky spojené s dovozem z</w:t>
      </w:r>
      <w:r>
        <w:rPr>
          <w:rFonts w:ascii="Verdana" w:hAnsi="Verdana"/>
          <w:sz w:val="20"/>
          <w:lang w:eastAsia="cs-CZ"/>
        </w:rPr>
        <w:t>ařízení</w:t>
      </w:r>
      <w:r w:rsidRPr="000308EE">
        <w:rPr>
          <w:rFonts w:ascii="Verdana" w:hAnsi="Verdana"/>
          <w:sz w:val="20"/>
          <w:lang w:eastAsia="cs-CZ"/>
        </w:rPr>
        <w:t xml:space="preserve">, cla, daně, dovozní a vývozní přirážky, licenční a veškeré další poplatky spojené s dodávkou </w:t>
      </w:r>
      <w:r w:rsidR="00443498" w:rsidRPr="000308EE">
        <w:rPr>
          <w:rFonts w:ascii="Verdana" w:hAnsi="Verdana"/>
          <w:sz w:val="20"/>
          <w:lang w:eastAsia="cs-CZ"/>
        </w:rPr>
        <w:t>z</w:t>
      </w:r>
      <w:r w:rsidR="00443498">
        <w:rPr>
          <w:rFonts w:ascii="Verdana" w:hAnsi="Verdana"/>
          <w:sz w:val="20"/>
          <w:lang w:eastAsia="cs-CZ"/>
        </w:rPr>
        <w:t>ařízení</w:t>
      </w:r>
      <w:r w:rsidRPr="000308EE">
        <w:rPr>
          <w:rFonts w:ascii="Verdana" w:hAnsi="Verdana"/>
          <w:sz w:val="20"/>
          <w:lang w:eastAsia="cs-CZ"/>
        </w:rPr>
        <w:t xml:space="preserve"> až do jejího předání v místě plnění,</w:t>
      </w:r>
    </w:p>
    <w:p w14:paraId="519B7FD1" w14:textId="77777777" w:rsidR="0067217D" w:rsidRDefault="0067217D" w:rsidP="0067217D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>návod k obsluze v českém jazyce (v tištěné a elektronické podobě</w:t>
      </w:r>
      <w:r>
        <w:rPr>
          <w:rFonts w:ascii="Verdana" w:hAnsi="Verdana"/>
          <w:sz w:val="20"/>
          <w:lang w:eastAsia="cs-CZ"/>
        </w:rPr>
        <w:t xml:space="preserve"> na datovém nosiči</w:t>
      </w:r>
      <w:r w:rsidRPr="00941ABD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</w:t>
      </w:r>
    </w:p>
    <w:p w14:paraId="55834E3D" w14:textId="77777777" w:rsidR="0067217D" w:rsidRPr="00B3569A" w:rsidRDefault="0067217D" w:rsidP="0067217D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B3569A">
        <w:rPr>
          <w:rFonts w:ascii="Verdana" w:hAnsi="Verdana"/>
          <w:sz w:val="20"/>
          <w:lang w:eastAsia="cs-CZ"/>
        </w:rPr>
        <w:t>prohlášení o shodě od výrobce, tj. ES prohlášení o shodě (CE Conformity Declaration), uživatelské příručky v českém jazyce min. v 1 písemné formě</w:t>
      </w:r>
      <w:r>
        <w:rPr>
          <w:rFonts w:ascii="Verdana" w:hAnsi="Verdana"/>
          <w:sz w:val="20"/>
          <w:lang w:eastAsia="cs-CZ"/>
        </w:rPr>
        <w:t>,</w:t>
      </w:r>
    </w:p>
    <w:p w14:paraId="295D67C8" w14:textId="77777777" w:rsidR="0067217D" w:rsidRPr="00C519B2" w:rsidRDefault="0067217D" w:rsidP="0067217D">
      <w:pPr>
        <w:pStyle w:val="Nadpis2"/>
        <w:keepNext w:val="0"/>
        <w:numPr>
          <w:ilvl w:val="0"/>
          <w:numId w:val="13"/>
        </w:numPr>
        <w:tabs>
          <w:tab w:val="num" w:pos="360"/>
          <w:tab w:val="left" w:pos="993"/>
        </w:tabs>
        <w:spacing w:after="60"/>
        <w:ind w:left="993" w:hanging="426"/>
        <w:jc w:val="both"/>
        <w:rPr>
          <w:rFonts w:asciiTheme="minorHAnsi" w:hAnsiTheme="minorHAnsi" w:cstheme="minorHAnsi"/>
        </w:rPr>
      </w:pPr>
      <w:r>
        <w:rPr>
          <w:rFonts w:ascii="Verdana" w:hAnsi="Verdana"/>
          <w:sz w:val="20"/>
          <w:lang w:eastAsia="cs-CZ"/>
        </w:rPr>
        <w:t>případné další doklady a certifikáty nezbytné k užívání zboží</w:t>
      </w:r>
      <w:r w:rsidRPr="00C519B2">
        <w:rPr>
          <w:rFonts w:ascii="Verdana" w:hAnsi="Verdana"/>
          <w:sz w:val="20"/>
          <w:lang w:eastAsia="cs-CZ"/>
        </w:rPr>
        <w:t>.</w:t>
      </w:r>
    </w:p>
    <w:p w14:paraId="6D917DC9" w14:textId="6121C00D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 w:rsidR="00443498">
        <w:rPr>
          <w:rFonts w:ascii="Verdana" w:hAnsi="Verdana"/>
          <w:sz w:val="20"/>
          <w:lang w:eastAsia="cs-CZ"/>
        </w:rPr>
        <w:t>.</w:t>
      </w:r>
    </w:p>
    <w:p w14:paraId="0A089527" w14:textId="77777777" w:rsidR="00BE30BC" w:rsidRDefault="00BE30BC" w:rsidP="00BE30B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  <w:r>
        <w:rPr>
          <w:rFonts w:ascii="Verdana" w:hAnsi="Verdana"/>
          <w:sz w:val="20"/>
          <w:lang w:eastAsia="cs-CZ"/>
        </w:rPr>
        <w:t xml:space="preserve"> Tuto smlouvu uzavírá v postavení profesionála a zavazuje se postupovat při plnění této smlouvy s odbornou péčí.</w:t>
      </w:r>
    </w:p>
    <w:p w14:paraId="5DF1465E" w14:textId="77777777" w:rsidR="00BE30BC" w:rsidRDefault="00BE30BC" w:rsidP="00BE30B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325A5">
        <w:rPr>
          <w:rFonts w:ascii="Verdana" w:hAnsi="Verdana"/>
          <w:sz w:val="20"/>
          <w:lang w:eastAsia="cs-CZ"/>
        </w:rPr>
        <w:t xml:space="preserve">Tato smlouva je uzavřena na základě </w:t>
      </w:r>
      <w:r>
        <w:rPr>
          <w:rFonts w:ascii="Verdana" w:hAnsi="Verdana"/>
          <w:sz w:val="20"/>
          <w:lang w:eastAsia="cs-CZ"/>
        </w:rPr>
        <w:t>výsledku průzkumu trhu</w:t>
      </w:r>
      <w:r w:rsidRPr="005325A5">
        <w:rPr>
          <w:rFonts w:ascii="Verdana" w:hAnsi="Verdana"/>
          <w:sz w:val="20"/>
          <w:lang w:eastAsia="cs-CZ"/>
        </w:rPr>
        <w:t xml:space="preserve"> mimo režim zákona č. 134/2016 Sb., o zadávání veřejných zakázek, ve znění pozdějších předpisů.</w:t>
      </w:r>
    </w:p>
    <w:p w14:paraId="27A85E75" w14:textId="763FE073" w:rsidR="00176F01" w:rsidRDefault="00176F01" w:rsidP="00176F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>Součástí smluvního ujednání j</w:t>
      </w:r>
      <w:r w:rsidR="00601E87">
        <w:rPr>
          <w:rFonts w:ascii="Verdana" w:hAnsi="Verdana"/>
          <w:sz w:val="20"/>
          <w:lang w:eastAsia="cs-CZ"/>
        </w:rPr>
        <w:t>sou</w:t>
      </w:r>
      <w:r w:rsidRPr="00BD5B99">
        <w:rPr>
          <w:rFonts w:ascii="Verdana" w:hAnsi="Verdana"/>
          <w:sz w:val="20"/>
          <w:lang w:eastAsia="cs-CZ"/>
        </w:rPr>
        <w:t xml:space="preserve">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AEB45B5" w14:textId="77777777" w:rsidR="006E77CF" w:rsidRPr="006E77CF" w:rsidRDefault="006E77CF" w:rsidP="006E77CF">
      <w:pPr>
        <w:rPr>
          <w:lang w:eastAsia="cs-CZ"/>
        </w:rPr>
      </w:pPr>
    </w:p>
    <w:p w14:paraId="2B172911" w14:textId="77777777" w:rsidR="00547331" w:rsidRPr="005C31E8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328F3ADE" w14:textId="6B3CCF5A" w:rsidR="00547331" w:rsidRPr="005C31E8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BC2BDF">
        <w:rPr>
          <w:rFonts w:ascii="Verdana" w:hAnsi="Verdana"/>
          <w:b/>
          <w:sz w:val="20"/>
          <w:lang w:eastAsia="cs-CZ"/>
        </w:rPr>
        <w:t>3 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3BD235FF" w14:textId="2797B2D7" w:rsidR="00547331" w:rsidRPr="005C31E8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995EEE" w:rsidRPr="00890115">
        <w:rPr>
          <w:rFonts w:ascii="Verdana" w:hAnsi="Verdana"/>
          <w:b/>
          <w:bCs/>
          <w:sz w:val="20"/>
          <w:lang w:eastAsia="cs-CZ"/>
        </w:rPr>
        <w:t>Oddělení výpočetní techniky</w:t>
      </w:r>
      <w:r w:rsidR="00995EEE" w:rsidRPr="0009042B">
        <w:rPr>
          <w:rFonts w:ascii="Verdana" w:hAnsi="Verdana"/>
          <w:sz w:val="20"/>
          <w:lang w:eastAsia="cs-CZ"/>
        </w:rPr>
        <w:t>.</w:t>
      </w:r>
    </w:p>
    <w:p w14:paraId="134F16A2" w14:textId="77777777" w:rsidR="001D4391" w:rsidRPr="0024026F" w:rsidRDefault="001D4391" w:rsidP="001D43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Dodání zboží v souladu s touto smlouvou a jeho převzetí kupujícím bude potvrzeno podpisem kupujícího na dodacím listu. Okamžikem podpisu </w:t>
      </w:r>
      <w:r>
        <w:rPr>
          <w:rFonts w:ascii="Verdana" w:hAnsi="Verdana"/>
          <w:sz w:val="20"/>
          <w:lang w:eastAsia="cs-CZ"/>
        </w:rPr>
        <w:t>dodacího listu</w:t>
      </w:r>
      <w:r w:rsidRPr="0024026F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25BB552D" w14:textId="5C240FC7" w:rsidR="00547331" w:rsidRDefault="001D4391" w:rsidP="001D439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4026F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>
        <w:rPr>
          <w:rFonts w:ascii="Verdana" w:hAnsi="Verdana"/>
          <w:sz w:val="20"/>
          <w:lang w:eastAsia="cs-CZ"/>
        </w:rPr>
        <w:t xml:space="preserve">opožděně, zboží bude </w:t>
      </w:r>
      <w:r w:rsidRPr="0024026F">
        <w:rPr>
          <w:rFonts w:ascii="Verdana" w:hAnsi="Verdana"/>
          <w:sz w:val="20"/>
          <w:lang w:eastAsia="cs-CZ"/>
        </w:rPr>
        <w:t xml:space="preserve">poškozené nebo prodávající nedodá </w:t>
      </w:r>
      <w:r>
        <w:rPr>
          <w:rFonts w:ascii="Verdana" w:hAnsi="Verdana"/>
          <w:sz w:val="20"/>
          <w:lang w:eastAsia="cs-CZ"/>
        </w:rPr>
        <w:t xml:space="preserve">všechny </w:t>
      </w:r>
      <w:r w:rsidRPr="0024026F">
        <w:rPr>
          <w:rFonts w:ascii="Verdana" w:hAnsi="Verdana"/>
          <w:sz w:val="20"/>
          <w:lang w:eastAsia="cs-CZ"/>
        </w:rPr>
        <w:t>potřebné doklady ke zboží.</w:t>
      </w:r>
    </w:p>
    <w:p w14:paraId="1C3FC1CE" w14:textId="77777777" w:rsidR="006E77CF" w:rsidRPr="006E77CF" w:rsidRDefault="006E77CF" w:rsidP="006E77CF">
      <w:pPr>
        <w:rPr>
          <w:lang w:eastAsia="cs-CZ"/>
        </w:rPr>
      </w:pPr>
    </w:p>
    <w:p w14:paraId="3B52EF34" w14:textId="77777777" w:rsidR="00547331" w:rsidRPr="0016146E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77AF667E" w14:textId="176665A2" w:rsidR="00547331" w:rsidRPr="00842691" w:rsidRDefault="00176F0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Celková k</w:t>
      </w:r>
      <w:r w:rsidRPr="00E03D8C">
        <w:rPr>
          <w:rFonts w:ascii="Verdana" w:hAnsi="Verdana"/>
          <w:sz w:val="20"/>
          <w:lang w:eastAsia="cs-CZ"/>
        </w:rPr>
        <w:t xml:space="preserve">upní cena </w:t>
      </w:r>
      <w:r>
        <w:rPr>
          <w:rFonts w:ascii="Verdana" w:hAnsi="Verdana"/>
          <w:sz w:val="20"/>
          <w:lang w:eastAsia="cs-CZ"/>
        </w:rPr>
        <w:t>zařízení</w:t>
      </w:r>
      <w:r w:rsidRPr="00E03D8C">
        <w:rPr>
          <w:rFonts w:ascii="Verdana" w:hAnsi="Verdana"/>
          <w:sz w:val="20"/>
          <w:lang w:eastAsia="cs-CZ"/>
        </w:rPr>
        <w:t xml:space="preserve"> činí </w:t>
      </w:r>
      <w:r w:rsidR="00B04EDB" w:rsidRPr="00B55197">
        <w:rPr>
          <w:rFonts w:ascii="Verdana" w:hAnsi="Verdana"/>
          <w:b/>
          <w:bCs/>
          <w:sz w:val="20"/>
          <w:lang w:eastAsia="cs-CZ"/>
        </w:rPr>
        <w:t>1.369.800</w:t>
      </w:r>
      <w:r w:rsidRPr="00B55197">
        <w:rPr>
          <w:rFonts w:ascii="Verdana" w:hAnsi="Verdana"/>
          <w:b/>
          <w:bCs/>
          <w:sz w:val="20"/>
          <w:lang w:eastAsia="cs-CZ"/>
        </w:rPr>
        <w:t>,- Kč bez DPH</w:t>
      </w:r>
      <w:r w:rsidRPr="00E03D8C">
        <w:rPr>
          <w:rFonts w:ascii="Verdana" w:hAnsi="Verdana"/>
          <w:sz w:val="20"/>
          <w:lang w:eastAsia="cs-CZ"/>
        </w:rPr>
        <w:t xml:space="preserve">, DPH </w:t>
      </w:r>
      <w:r w:rsidR="00B04EDB">
        <w:rPr>
          <w:rFonts w:ascii="Verdana" w:hAnsi="Verdana"/>
          <w:sz w:val="20"/>
          <w:lang w:eastAsia="cs-CZ"/>
        </w:rPr>
        <w:t>21</w:t>
      </w:r>
      <w:r w:rsidRPr="00E03D8C">
        <w:rPr>
          <w:rFonts w:ascii="Verdana" w:hAnsi="Verdana"/>
          <w:sz w:val="20"/>
          <w:lang w:eastAsia="cs-CZ"/>
        </w:rPr>
        <w:t xml:space="preserve">% činí </w:t>
      </w:r>
      <w:r w:rsidR="00B04EDB">
        <w:rPr>
          <w:rFonts w:ascii="Verdana" w:hAnsi="Verdana"/>
          <w:sz w:val="20"/>
          <w:lang w:eastAsia="cs-CZ"/>
        </w:rPr>
        <w:t>287.658</w:t>
      </w:r>
      <w:r w:rsidRPr="00E03D8C">
        <w:rPr>
          <w:rFonts w:ascii="Verdana" w:hAnsi="Verdana"/>
          <w:sz w:val="20"/>
          <w:lang w:eastAsia="cs-CZ"/>
        </w:rPr>
        <w:t xml:space="preserve">,- Kč, tj. celková kupní cena vč. DPH činí </w:t>
      </w:r>
      <w:r w:rsidR="00B04EDB">
        <w:rPr>
          <w:rFonts w:ascii="Verdana" w:hAnsi="Verdana"/>
          <w:sz w:val="20"/>
          <w:lang w:eastAsia="cs-CZ"/>
        </w:rPr>
        <w:t>1.657.458</w:t>
      </w:r>
      <w:r w:rsidRPr="00E03D8C">
        <w:rPr>
          <w:rFonts w:ascii="Verdana" w:hAnsi="Verdana"/>
          <w:sz w:val="20"/>
          <w:lang w:eastAsia="cs-CZ"/>
        </w:rPr>
        <w:t>- Kč.</w:t>
      </w:r>
      <w:r>
        <w:rPr>
          <w:rFonts w:ascii="Verdana" w:hAnsi="Verdana"/>
          <w:sz w:val="20"/>
          <w:lang w:eastAsia="cs-CZ"/>
        </w:rPr>
        <w:t xml:space="preserve"> Prodávající ručí za uplatnění správné sazby DPH vztahující se na dodávku </w:t>
      </w:r>
      <w:r w:rsidR="00B04EDB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dle této smlouvy</w:t>
      </w:r>
      <w:r w:rsidR="00547331" w:rsidRPr="00842691">
        <w:rPr>
          <w:rFonts w:ascii="Verdana" w:hAnsi="Verdana"/>
          <w:sz w:val="20"/>
          <w:lang w:eastAsia="cs-CZ"/>
        </w:rPr>
        <w:t>.</w:t>
      </w:r>
    </w:p>
    <w:p w14:paraId="47632008" w14:textId="4FD42ADA" w:rsidR="0076247F" w:rsidRPr="0016146E" w:rsidRDefault="0076247F" w:rsidP="0076247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>
        <w:rPr>
          <w:rFonts w:ascii="Verdana" w:hAnsi="Verdana"/>
          <w:sz w:val="20"/>
          <w:lang w:eastAsia="cs-CZ"/>
        </w:rPr>
        <w:t xml:space="preserve">nění, balné, pojištění, případné </w:t>
      </w:r>
      <w:r>
        <w:rPr>
          <w:rFonts w:ascii="Verdana" w:hAnsi="Verdana"/>
          <w:sz w:val="20"/>
          <w:lang w:eastAsia="cs-CZ"/>
        </w:rPr>
        <w:lastRenderedPageBreak/>
        <w:t>celní a </w:t>
      </w:r>
      <w:r w:rsidRPr="0016146E">
        <w:rPr>
          <w:rFonts w:ascii="Verdana" w:hAnsi="Verdana"/>
          <w:sz w:val="20"/>
          <w:lang w:eastAsia="cs-CZ"/>
        </w:rPr>
        <w:t xml:space="preserve">daňové poplatky, </w:t>
      </w:r>
      <w:r>
        <w:rPr>
          <w:rFonts w:ascii="Verdana" w:hAnsi="Verdana"/>
          <w:sz w:val="20"/>
          <w:lang w:eastAsia="cs-CZ"/>
        </w:rPr>
        <w:t xml:space="preserve">licenční poplatky, </w:t>
      </w:r>
      <w:r w:rsidRPr="0016146E">
        <w:rPr>
          <w:rFonts w:ascii="Verdana" w:hAnsi="Verdana"/>
          <w:sz w:val="20"/>
          <w:lang w:eastAsia="cs-CZ"/>
        </w:rPr>
        <w:t xml:space="preserve">zaškolení </w:t>
      </w:r>
      <w:r>
        <w:rPr>
          <w:rFonts w:ascii="Verdana" w:hAnsi="Verdana"/>
          <w:sz w:val="20"/>
          <w:lang w:eastAsia="cs-CZ"/>
        </w:rPr>
        <w:t>obsluhy</w:t>
      </w:r>
      <w:r w:rsidRPr="0016146E">
        <w:rPr>
          <w:rFonts w:ascii="Verdana" w:hAnsi="Verdana"/>
          <w:sz w:val="20"/>
          <w:lang w:eastAsia="cs-CZ"/>
        </w:rPr>
        <w:t xml:space="preserve"> a jiné náklad</w:t>
      </w:r>
      <w:r>
        <w:rPr>
          <w:rFonts w:ascii="Verdana" w:hAnsi="Verdana"/>
          <w:sz w:val="20"/>
          <w:lang w:eastAsia="cs-CZ"/>
        </w:rPr>
        <w:t>y související s dodávkou zařízení.</w:t>
      </w:r>
    </w:p>
    <w:p w14:paraId="42407AD9" w14:textId="77777777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EB59B9E" w14:textId="77777777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581FCC7F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0C005FC" w14:textId="684C98CB" w:rsidR="00547331" w:rsidRDefault="00547331" w:rsidP="000904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</w:t>
      </w:r>
      <w:r w:rsidR="00DE0A8D">
        <w:rPr>
          <w:rFonts w:ascii="Verdana" w:hAnsi="Verdana"/>
          <w:sz w:val="20"/>
          <w:lang w:eastAsia="cs-CZ"/>
        </w:rPr>
        <w:t>,</w:t>
      </w:r>
      <w:r w:rsidRPr="00814DF4">
        <w:rPr>
          <w:rFonts w:ascii="Verdana" w:hAnsi="Verdana"/>
          <w:sz w:val="20"/>
          <w:lang w:eastAsia="cs-CZ"/>
        </w:rPr>
        <w:t xml:space="preserve"> a</w:t>
      </w:r>
      <w:r w:rsidR="005769F9">
        <w:rPr>
          <w:rFonts w:ascii="Verdana" w:hAnsi="Verdana"/>
          <w:sz w:val="20"/>
          <w:lang w:eastAsia="cs-CZ"/>
        </w:rPr>
        <w:t xml:space="preserve"> </w:t>
      </w:r>
      <w:r w:rsidRPr="00814DF4">
        <w:rPr>
          <w:rFonts w:ascii="Verdana" w:hAnsi="Verdana"/>
          <w:sz w:val="20"/>
          <w:lang w:eastAsia="cs-CZ"/>
        </w:rPr>
        <w:t>tuto aniž by k tomu byl vyzván jako ručitel uhradit za prodávajícího příslušnému správci daně.</w:t>
      </w:r>
    </w:p>
    <w:p w14:paraId="341B1415" w14:textId="77777777" w:rsidR="006E77CF" w:rsidRPr="006E77CF" w:rsidRDefault="006E77CF" w:rsidP="006E77CF">
      <w:pPr>
        <w:rPr>
          <w:lang w:eastAsia="cs-CZ"/>
        </w:rPr>
      </w:pPr>
    </w:p>
    <w:p w14:paraId="31B2586F" w14:textId="77777777" w:rsidR="00547331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21F76388" w14:textId="77777777" w:rsidR="00547331" w:rsidRPr="00622CAA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2AB21DA4" w14:textId="77777777" w:rsidR="00547331" w:rsidRPr="002B5AA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0E27F020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Kupující je oprávněn reklamovat vady zařízení kdykoliv v průběhu záruční doby.</w:t>
      </w:r>
    </w:p>
    <w:p w14:paraId="2D33C368" w14:textId="0F0D01C1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 xml:space="preserve">vad kupujícím (písemně, emailem, faxem či telefonicky) a </w:t>
      </w:r>
      <w:r w:rsidR="00BE1D46">
        <w:rPr>
          <w:rFonts w:ascii="Verdana" w:hAnsi="Verdana"/>
          <w:sz w:val="20"/>
          <w:lang w:eastAsia="cs-CZ"/>
        </w:rPr>
        <w:t>odstranit vady</w:t>
      </w:r>
      <w:r>
        <w:rPr>
          <w:rFonts w:ascii="Verdana" w:hAnsi="Verdana"/>
          <w:sz w:val="20"/>
          <w:lang w:eastAsia="cs-CZ"/>
        </w:rPr>
        <w:t xml:space="preserve"> zařízení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</w:t>
      </w:r>
      <w:r w:rsidR="002D5D39">
        <w:rPr>
          <w:rFonts w:ascii="Verdana" w:hAnsi="Verdana"/>
          <w:sz w:val="20"/>
          <w:lang w:eastAsia="cs-CZ"/>
        </w:rPr>
        <w:t>, nedohodnou-li se smluvní strany jinak</w:t>
      </w:r>
      <w:r w:rsidRPr="002B5AA8">
        <w:rPr>
          <w:rFonts w:ascii="Verdana" w:hAnsi="Verdana"/>
          <w:sz w:val="20"/>
          <w:lang w:eastAsia="cs-CZ"/>
        </w:rPr>
        <w:t xml:space="preserve">. </w:t>
      </w:r>
      <w:r w:rsidRPr="001131C8">
        <w:rPr>
          <w:rFonts w:ascii="Verdana" w:hAnsi="Verdana"/>
          <w:sz w:val="20"/>
          <w:lang w:eastAsia="cs-CZ"/>
        </w:rPr>
        <w:t>Oznámení vady se považuje za doručené okamžikem jeho dodání do sféry dispozice kontaktní osoby prodávajícího.</w:t>
      </w:r>
    </w:p>
    <w:p w14:paraId="5E9F52A8" w14:textId="77777777" w:rsidR="00547331" w:rsidRPr="002B5AA8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Ukáže-li se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vada zařízení, na kterou se vztahuje záruka za jakost, jako </w:t>
      </w:r>
      <w:r w:rsidRPr="002B5AA8">
        <w:rPr>
          <w:rFonts w:ascii="Verdana" w:hAnsi="Verdana"/>
          <w:sz w:val="20"/>
          <w:lang w:eastAsia="cs-CZ"/>
        </w:rPr>
        <w:t xml:space="preserve">neodstranitelná, nebo v případě, že prodávající </w:t>
      </w:r>
      <w:r>
        <w:rPr>
          <w:rFonts w:ascii="Verdana" w:hAnsi="Verdana"/>
          <w:sz w:val="20"/>
          <w:lang w:eastAsia="cs-CZ"/>
        </w:rPr>
        <w:t>neodstraní takovou vadu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2132DE0F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2333BFBE" w14:textId="77777777" w:rsidR="006E77CF" w:rsidRPr="006E77CF" w:rsidRDefault="006E77CF" w:rsidP="006E77CF">
      <w:pPr>
        <w:rPr>
          <w:lang w:eastAsia="cs-CZ"/>
        </w:rPr>
      </w:pPr>
    </w:p>
    <w:p w14:paraId="1D2EBD54" w14:textId="77777777" w:rsidR="00547331" w:rsidRPr="0016146E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2521F8D6" w14:textId="6DF960E1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CF3CAD"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235401DC" w14:textId="77777777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 xml:space="preserve">, že tato smlouva podléhá uveřejnění v registru smluv dle zákona č. 340/2015 Sb., o zvláštních podmínkách účinnosti některých smluv, uveřejňování </w:t>
      </w:r>
      <w:r w:rsidRPr="002A48C2">
        <w:rPr>
          <w:rFonts w:ascii="Verdana" w:hAnsi="Verdana"/>
          <w:sz w:val="20"/>
        </w:rPr>
        <w:lastRenderedPageBreak/>
        <w:t>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8CD5686" w14:textId="787D5CD8" w:rsidR="00087A47" w:rsidRDefault="00087A47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68D81FC6" w14:textId="49310659" w:rsidR="00547331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27D6E365" w14:textId="77777777" w:rsidR="009B1D2C" w:rsidRDefault="009B1D2C" w:rsidP="009B1D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prodávajícího vzniká kupujícímu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79DE64C4" w14:textId="77777777" w:rsidR="009B1D2C" w:rsidRPr="001F6D42" w:rsidRDefault="009B1D2C" w:rsidP="009B1D2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0,1 % z kupní ceny zboží bez DPH</w:t>
      </w:r>
      <w:r w:rsidRPr="001F6D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za každý započatý den prodlení s dodáním zboží,</w:t>
      </w:r>
    </w:p>
    <w:p w14:paraId="63CCBF0E" w14:textId="77777777" w:rsidR="009B1D2C" w:rsidRDefault="009B1D2C" w:rsidP="009B1D2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D547BB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provedením servisní činnosti,</w:t>
      </w:r>
    </w:p>
    <w:p w14:paraId="40CA6A75" w14:textId="77777777" w:rsidR="009B1D2C" w:rsidRDefault="009B1D2C" w:rsidP="009B1D2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50.000,- Kč 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prodávajícího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3062D356" w14:textId="77777777" w:rsidR="009B1D2C" w:rsidRDefault="009B1D2C" w:rsidP="009B1D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A356D">
        <w:rPr>
          <w:rFonts w:ascii="Verdana" w:hAnsi="Verdana"/>
          <w:sz w:val="20"/>
          <w:lang w:eastAsia="cs-CZ"/>
        </w:rPr>
        <w:t>Smluvní pokuta je splatná do 15 dnů od doručení výzvy k jejímu uhrazení.</w:t>
      </w:r>
    </w:p>
    <w:p w14:paraId="4D9180D9" w14:textId="5A5252FF" w:rsidR="00547331" w:rsidRDefault="009B1D2C" w:rsidP="009B1D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Zaplacením smluvní pokuty není dotčen nárok na náhradu škody </w:t>
      </w:r>
      <w:r>
        <w:rPr>
          <w:rFonts w:ascii="Verdana" w:hAnsi="Verdana"/>
          <w:sz w:val="20"/>
          <w:lang w:eastAsia="cs-CZ"/>
        </w:rPr>
        <w:t>ve výši přesahující smluvní pokutu.</w:t>
      </w:r>
    </w:p>
    <w:p w14:paraId="6F91440A" w14:textId="77777777" w:rsidR="006E77CF" w:rsidRPr="006E77CF" w:rsidRDefault="006E77CF" w:rsidP="006E77CF">
      <w:pPr>
        <w:rPr>
          <w:lang w:eastAsia="cs-CZ"/>
        </w:rPr>
      </w:pPr>
    </w:p>
    <w:p w14:paraId="6B7C2E3E" w14:textId="77777777" w:rsidR="00547331" w:rsidRPr="00D547BB" w:rsidRDefault="00547331" w:rsidP="00547331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1606EA66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2A81531D" w14:textId="77777777" w:rsidR="009B1D2C" w:rsidRDefault="009B1D2C" w:rsidP="009B1D2C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1BAF0D5E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DA858CB" w14:textId="294918FE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</w:t>
      </w:r>
      <w:r w:rsidR="00CF3CAD">
        <w:rPr>
          <w:rFonts w:ascii="Verdana" w:hAnsi="Verdana"/>
          <w:sz w:val="20"/>
          <w:lang w:eastAsia="cs-CZ"/>
        </w:rPr>
        <w:t xml:space="preserve"> dodatků</w:t>
      </w:r>
      <w:r>
        <w:rPr>
          <w:rFonts w:ascii="Verdana" w:hAnsi="Verdana"/>
          <w:sz w:val="20"/>
          <w:lang w:eastAsia="cs-CZ"/>
        </w:rPr>
        <w:t>, podepsaných oprávněnými zástupci obou smluvních stran. Smluvní strany vylučují změnu této smlouvy jinou formou.</w:t>
      </w:r>
    </w:p>
    <w:p w14:paraId="71BE2B1D" w14:textId="77777777" w:rsidR="008E0453" w:rsidRPr="0016146E" w:rsidRDefault="008E0453" w:rsidP="008E045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 xml:space="preserve">mlouva podléhá uveřejnění v registru smluv, nabývá účinnosti nejdříve dnem </w:t>
      </w:r>
      <w:r w:rsidRPr="00FC69A0">
        <w:rPr>
          <w:rFonts w:ascii="Verdana" w:hAnsi="Verdana"/>
          <w:sz w:val="20"/>
          <w:lang w:eastAsia="cs-CZ"/>
        </w:rPr>
        <w:lastRenderedPageBreak/>
        <w:t>uveřejnění.</w:t>
      </w:r>
      <w:r>
        <w:rPr>
          <w:rFonts w:ascii="Verdana" w:hAnsi="Verdana"/>
          <w:sz w:val="20"/>
          <w:lang w:eastAsia="cs-CZ"/>
        </w:rPr>
        <w:t xml:space="preserve"> Případná plnění poskytnutá v souladu s touto smlouvou přede dnem její účinnosti, se dnem účinnosti této smlouvy považují za plnění na základě této smlouvy.</w:t>
      </w:r>
    </w:p>
    <w:p w14:paraId="1DF9CF4A" w14:textId="77777777" w:rsidR="00547331" w:rsidRDefault="00547331" w:rsidP="0054733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smlouva vypracována v jednom vyhotovení podepsaném elektronicky oběma smluvními stranami.</w:t>
      </w:r>
    </w:p>
    <w:p w14:paraId="139217BD" w14:textId="77777777" w:rsidR="00547331" w:rsidRPr="0016146E" w:rsidRDefault="00547331" w:rsidP="0054733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6A55692" w14:textId="77777777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FF6FF9E" w14:textId="634D1CDF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  <w:r w:rsidR="00176F01">
        <w:rPr>
          <w:snapToGrid w:val="0"/>
          <w:sz w:val="20"/>
          <w:szCs w:val="20"/>
          <w:lang w:eastAsia="cs-CZ"/>
        </w:rPr>
        <w:t>:</w:t>
      </w:r>
    </w:p>
    <w:p w14:paraId="71B955C5" w14:textId="1B0AD0E5" w:rsidR="00547331" w:rsidRDefault="00CB52CB" w:rsidP="0054733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nabídka prodávajícího</w:t>
      </w:r>
      <w:r w:rsidR="006E2BC0">
        <w:rPr>
          <w:snapToGrid w:val="0"/>
          <w:sz w:val="20"/>
          <w:szCs w:val="20"/>
          <w:lang w:eastAsia="cs-CZ"/>
        </w:rPr>
        <w:t xml:space="preserve"> ze dne </w:t>
      </w:r>
      <w:r w:rsidR="006E77CF">
        <w:rPr>
          <w:snapToGrid w:val="0"/>
          <w:sz w:val="20"/>
          <w:szCs w:val="20"/>
          <w:lang w:eastAsia="cs-CZ"/>
        </w:rPr>
        <w:t>12.</w:t>
      </w:r>
      <w:r w:rsidR="003A4B4C">
        <w:rPr>
          <w:snapToGrid w:val="0"/>
          <w:sz w:val="20"/>
          <w:szCs w:val="20"/>
          <w:lang w:eastAsia="cs-CZ"/>
        </w:rPr>
        <w:t>5.</w:t>
      </w:r>
      <w:r w:rsidR="006E77CF">
        <w:rPr>
          <w:snapToGrid w:val="0"/>
          <w:sz w:val="20"/>
          <w:szCs w:val="20"/>
          <w:lang w:eastAsia="cs-CZ"/>
        </w:rPr>
        <w:t>2025</w:t>
      </w:r>
    </w:p>
    <w:p w14:paraId="0FF068A6" w14:textId="77777777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4EB6E37" w14:textId="77777777" w:rsidR="00547331" w:rsidRDefault="00547331" w:rsidP="0054733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547331" w:rsidRPr="00882036" w14:paraId="4FA75863" w14:textId="77777777" w:rsidTr="004A3975">
        <w:trPr>
          <w:jc w:val="center"/>
        </w:trPr>
        <w:tc>
          <w:tcPr>
            <w:tcW w:w="4606" w:type="dxa"/>
          </w:tcPr>
          <w:p w14:paraId="26EFF984" w14:textId="426ECCAA" w:rsidR="00547331" w:rsidRPr="003B4CC9" w:rsidRDefault="00547331" w:rsidP="004A397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CB52CB" w:rsidRPr="00882036">
              <w:rPr>
                <w:sz w:val="20"/>
                <w:szCs w:val="20"/>
                <w:lang w:eastAsia="cs-CZ"/>
              </w:rPr>
              <w:t>Mladé Boleslavi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5F440602" w14:textId="77777777" w:rsidR="00547331" w:rsidRPr="00882036" w:rsidRDefault="00547331" w:rsidP="004A3975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547331" w:rsidRPr="00882036" w14:paraId="6423AB33" w14:textId="77777777" w:rsidTr="004A3975">
        <w:trPr>
          <w:trHeight w:val="120"/>
          <w:jc w:val="center"/>
        </w:trPr>
        <w:tc>
          <w:tcPr>
            <w:tcW w:w="4606" w:type="dxa"/>
          </w:tcPr>
          <w:p w14:paraId="61F6A9C0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EDB1825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3A24C6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FA197E5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54D0F79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237D26B" w14:textId="77777777" w:rsidR="00547331" w:rsidRDefault="00CB52CB" w:rsidP="004A39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64CB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Dragon Internet a.s.</w:t>
            </w:r>
          </w:p>
          <w:p w14:paraId="589467D4" w14:textId="77777777" w:rsidR="00CB52CB" w:rsidRDefault="00CB52CB" w:rsidP="00CB52CB">
            <w:pPr>
              <w:spacing w:after="0" w:line="240" w:lineRule="auto"/>
              <w:ind w:left="2552" w:hanging="2552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64CBA">
              <w:rPr>
                <w:rFonts w:eastAsia="Times New Roman"/>
                <w:sz w:val="20"/>
                <w:szCs w:val="20"/>
                <w:lang w:eastAsia="cs-CZ"/>
              </w:rPr>
              <w:t>Tomáš Dragon</w:t>
            </w:r>
          </w:p>
          <w:p w14:paraId="68576248" w14:textId="465E138C" w:rsidR="00CB52CB" w:rsidRPr="00CB52CB" w:rsidRDefault="00CB52CB" w:rsidP="00CB52CB">
            <w:pPr>
              <w:spacing w:after="0" w:line="240" w:lineRule="auto"/>
              <w:ind w:left="2552" w:hanging="2552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64CBA">
              <w:rPr>
                <w:rFonts w:eastAsia="Times New Roman"/>
                <w:sz w:val="20"/>
                <w:szCs w:val="20"/>
                <w:lang w:eastAsia="cs-CZ"/>
              </w:rPr>
              <w:t>předsed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</w:t>
            </w:r>
            <w:r w:rsidRPr="00364CBA">
              <w:rPr>
                <w:rFonts w:eastAsia="Times New Roman"/>
                <w:sz w:val="20"/>
                <w:szCs w:val="20"/>
                <w:lang w:eastAsia="cs-CZ"/>
              </w:rPr>
              <w:t xml:space="preserve"> představenstva</w:t>
            </w:r>
          </w:p>
        </w:tc>
        <w:tc>
          <w:tcPr>
            <w:tcW w:w="4606" w:type="dxa"/>
          </w:tcPr>
          <w:p w14:paraId="7B624F60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58C134F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9CD73DF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E3185E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82A8645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26DE0C7" w14:textId="77777777" w:rsidR="00547331" w:rsidRPr="00882036" w:rsidRDefault="00547331" w:rsidP="004A397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C5518B9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7A2304C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547331" w:rsidRPr="00882036" w14:paraId="663009B0" w14:textId="77777777" w:rsidTr="004A3975">
        <w:trPr>
          <w:trHeight w:val="120"/>
          <w:jc w:val="center"/>
        </w:trPr>
        <w:tc>
          <w:tcPr>
            <w:tcW w:w="4606" w:type="dxa"/>
          </w:tcPr>
          <w:p w14:paraId="476BAA54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60F22546" w14:textId="77777777" w:rsidR="00547331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0C685C" w14:textId="77777777" w:rsidR="0009042B" w:rsidRDefault="0009042B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06FC476" w14:textId="77777777" w:rsidR="0009042B" w:rsidRDefault="0009042B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F21A54" w14:textId="77777777" w:rsidR="0009042B" w:rsidRPr="00882036" w:rsidRDefault="0009042B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8CE3D8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C0DA125" w14:textId="77777777" w:rsidR="00547331" w:rsidRPr="00882036" w:rsidRDefault="00547331" w:rsidP="004A397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EBF3D0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33F557A4" w14:textId="77777777" w:rsidR="00547331" w:rsidRPr="00882036" w:rsidRDefault="00547331" w:rsidP="004A3975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9443007" w14:textId="77777777" w:rsidR="000230DD" w:rsidRPr="0009042B" w:rsidRDefault="000230DD" w:rsidP="00547331">
      <w:pPr>
        <w:rPr>
          <w:sz w:val="2"/>
          <w:szCs w:val="2"/>
        </w:rPr>
      </w:pPr>
    </w:p>
    <w:sectPr w:rsidR="000230DD" w:rsidRPr="0009042B" w:rsidSect="006E77CF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45F06" w14:textId="77777777" w:rsidR="00FA4971" w:rsidRDefault="00FA4971">
      <w:r>
        <w:separator/>
      </w:r>
    </w:p>
  </w:endnote>
  <w:endnote w:type="continuationSeparator" w:id="0">
    <w:p w14:paraId="569340A8" w14:textId="77777777" w:rsidR="00FA4971" w:rsidRDefault="00FA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4434" w14:textId="77777777" w:rsidR="00FA4971" w:rsidRDefault="00FA4971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C37C2B" w14:textId="77777777" w:rsidR="00FA4971" w:rsidRDefault="00FA4971" w:rsidP="00A57CF7">
    <w:pPr>
      <w:pStyle w:val="Zpat"/>
      <w:ind w:right="360"/>
    </w:pPr>
  </w:p>
  <w:p w14:paraId="2C7F7270" w14:textId="77777777" w:rsidR="00FA4971" w:rsidRDefault="00FA4971"/>
  <w:p w14:paraId="3055ED0F" w14:textId="77777777" w:rsidR="00FA4971" w:rsidRDefault="00FA4971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53CA" w14:textId="77777777" w:rsidR="00FA4971" w:rsidRPr="00E45928" w:rsidRDefault="00FA4971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547331"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547331" w:rsidRPr="00547331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FB65D26" w14:textId="548561B2" w:rsidR="00FA4971" w:rsidRPr="00A80BEF" w:rsidRDefault="00FA4971" w:rsidP="00A57CF7">
    <w:pPr>
      <w:ind w:right="360"/>
      <w:rPr>
        <w:sz w:val="14"/>
        <w:szCs w:val="16"/>
      </w:rPr>
    </w:pPr>
    <w:r w:rsidRPr="00A80BEF">
      <w:rPr>
        <w:noProof/>
        <w:sz w:val="14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3812A371" wp14:editId="3E15049C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ADB">
      <w:rPr>
        <w:noProof/>
        <w:sz w:val="14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75EB75A" wp14:editId="3678D4B8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C93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5124" w14:textId="77777777" w:rsidR="00FA4971" w:rsidRDefault="00FA4971">
      <w:r>
        <w:separator/>
      </w:r>
    </w:p>
  </w:footnote>
  <w:footnote w:type="continuationSeparator" w:id="0">
    <w:p w14:paraId="7086C578" w14:textId="77777777" w:rsidR="00FA4971" w:rsidRDefault="00FA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2BD0" w14:textId="14DBD790" w:rsidR="00FA4971" w:rsidRPr="0009042B" w:rsidRDefault="00FA4971" w:rsidP="0009042B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CC00C2" wp14:editId="2246012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2A6CD38" wp14:editId="041BC2F3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DC310E"/>
    <w:multiLevelType w:val="hybridMultilevel"/>
    <w:tmpl w:val="4A922156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3EA"/>
    <w:multiLevelType w:val="multilevel"/>
    <w:tmpl w:val="811ECF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4"/>
      <w:numFmt w:val="bullet"/>
      <w:lvlText w:val="-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443F80"/>
    <w:multiLevelType w:val="hybridMultilevel"/>
    <w:tmpl w:val="8800DD0E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65934"/>
    <w:multiLevelType w:val="hybridMultilevel"/>
    <w:tmpl w:val="BE1A7252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7621">
    <w:abstractNumId w:val="8"/>
  </w:num>
  <w:num w:numId="2" w16cid:durableId="1059354771">
    <w:abstractNumId w:val="5"/>
  </w:num>
  <w:num w:numId="3" w16cid:durableId="903638341">
    <w:abstractNumId w:val="10"/>
  </w:num>
  <w:num w:numId="4" w16cid:durableId="77792991">
    <w:abstractNumId w:val="11"/>
  </w:num>
  <w:num w:numId="5" w16cid:durableId="2014186292">
    <w:abstractNumId w:val="8"/>
  </w:num>
  <w:num w:numId="6" w16cid:durableId="352464404">
    <w:abstractNumId w:val="4"/>
  </w:num>
  <w:num w:numId="7" w16cid:durableId="1382368247">
    <w:abstractNumId w:val="3"/>
  </w:num>
  <w:num w:numId="8" w16cid:durableId="704250967">
    <w:abstractNumId w:val="8"/>
  </w:num>
  <w:num w:numId="9" w16cid:durableId="2118600411">
    <w:abstractNumId w:val="8"/>
  </w:num>
  <w:num w:numId="10" w16cid:durableId="1460108629">
    <w:abstractNumId w:val="8"/>
  </w:num>
  <w:num w:numId="11" w16cid:durableId="2010987031">
    <w:abstractNumId w:val="9"/>
  </w:num>
  <w:num w:numId="12" w16cid:durableId="1132403121">
    <w:abstractNumId w:val="8"/>
  </w:num>
  <w:num w:numId="13" w16cid:durableId="48092397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60BEF"/>
    <w:rsid w:val="0007502C"/>
    <w:rsid w:val="00075C1F"/>
    <w:rsid w:val="0008675B"/>
    <w:rsid w:val="00087A47"/>
    <w:rsid w:val="0009042B"/>
    <w:rsid w:val="000A49D5"/>
    <w:rsid w:val="000B1196"/>
    <w:rsid w:val="000B4463"/>
    <w:rsid w:val="000C2B47"/>
    <w:rsid w:val="000D0159"/>
    <w:rsid w:val="000D394F"/>
    <w:rsid w:val="000D5743"/>
    <w:rsid w:val="000D77B4"/>
    <w:rsid w:val="000E5C80"/>
    <w:rsid w:val="000F0F3E"/>
    <w:rsid w:val="000F4174"/>
    <w:rsid w:val="0010006E"/>
    <w:rsid w:val="00127F0C"/>
    <w:rsid w:val="00130828"/>
    <w:rsid w:val="00133A9B"/>
    <w:rsid w:val="0014170E"/>
    <w:rsid w:val="00143163"/>
    <w:rsid w:val="0014746A"/>
    <w:rsid w:val="001522EE"/>
    <w:rsid w:val="00152353"/>
    <w:rsid w:val="0016146E"/>
    <w:rsid w:val="001729C2"/>
    <w:rsid w:val="00176F01"/>
    <w:rsid w:val="001849A5"/>
    <w:rsid w:val="00187A2F"/>
    <w:rsid w:val="001B65FE"/>
    <w:rsid w:val="001D4391"/>
    <w:rsid w:val="001E0551"/>
    <w:rsid w:val="001E46BE"/>
    <w:rsid w:val="001E49CD"/>
    <w:rsid w:val="00205C95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82B6F"/>
    <w:rsid w:val="00286A80"/>
    <w:rsid w:val="002904D0"/>
    <w:rsid w:val="002914F5"/>
    <w:rsid w:val="002946A2"/>
    <w:rsid w:val="002A48C2"/>
    <w:rsid w:val="002B5AA8"/>
    <w:rsid w:val="002B7AC2"/>
    <w:rsid w:val="002C1A09"/>
    <w:rsid w:val="002C7F1E"/>
    <w:rsid w:val="002D58E7"/>
    <w:rsid w:val="002D5D39"/>
    <w:rsid w:val="002D7ADB"/>
    <w:rsid w:val="002E014C"/>
    <w:rsid w:val="002E37B0"/>
    <w:rsid w:val="002F274A"/>
    <w:rsid w:val="002F283E"/>
    <w:rsid w:val="003101C8"/>
    <w:rsid w:val="0031047A"/>
    <w:rsid w:val="00310FA3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62A5B"/>
    <w:rsid w:val="00365525"/>
    <w:rsid w:val="003869BF"/>
    <w:rsid w:val="00390F93"/>
    <w:rsid w:val="00391992"/>
    <w:rsid w:val="00394CDD"/>
    <w:rsid w:val="0039689D"/>
    <w:rsid w:val="00397B61"/>
    <w:rsid w:val="003A4B4C"/>
    <w:rsid w:val="003A748D"/>
    <w:rsid w:val="003B2CA0"/>
    <w:rsid w:val="003D4F04"/>
    <w:rsid w:val="003D68E1"/>
    <w:rsid w:val="003E3FFC"/>
    <w:rsid w:val="00415B20"/>
    <w:rsid w:val="00440F64"/>
    <w:rsid w:val="00443498"/>
    <w:rsid w:val="00446263"/>
    <w:rsid w:val="00451F1F"/>
    <w:rsid w:val="00470FCF"/>
    <w:rsid w:val="004714AE"/>
    <w:rsid w:val="00471B57"/>
    <w:rsid w:val="00472F49"/>
    <w:rsid w:val="004765F8"/>
    <w:rsid w:val="0048606A"/>
    <w:rsid w:val="004A024A"/>
    <w:rsid w:val="004A2D67"/>
    <w:rsid w:val="004A68DF"/>
    <w:rsid w:val="004A75EF"/>
    <w:rsid w:val="004B4D15"/>
    <w:rsid w:val="004D2FF1"/>
    <w:rsid w:val="004E6966"/>
    <w:rsid w:val="004F040C"/>
    <w:rsid w:val="00500D6E"/>
    <w:rsid w:val="00502EF7"/>
    <w:rsid w:val="00507638"/>
    <w:rsid w:val="00507B3D"/>
    <w:rsid w:val="005119E7"/>
    <w:rsid w:val="00511D1C"/>
    <w:rsid w:val="00512041"/>
    <w:rsid w:val="005138BA"/>
    <w:rsid w:val="00514206"/>
    <w:rsid w:val="00515C4F"/>
    <w:rsid w:val="0052107F"/>
    <w:rsid w:val="005313B8"/>
    <w:rsid w:val="00535EF7"/>
    <w:rsid w:val="00547331"/>
    <w:rsid w:val="005542C5"/>
    <w:rsid w:val="00557E96"/>
    <w:rsid w:val="00567770"/>
    <w:rsid w:val="005710AD"/>
    <w:rsid w:val="00573221"/>
    <w:rsid w:val="005769F9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A7ABD"/>
    <w:rsid w:val="005A7B91"/>
    <w:rsid w:val="005B1FE3"/>
    <w:rsid w:val="005B65E0"/>
    <w:rsid w:val="005B702E"/>
    <w:rsid w:val="005C03CA"/>
    <w:rsid w:val="005C31E8"/>
    <w:rsid w:val="005C3260"/>
    <w:rsid w:val="005C6497"/>
    <w:rsid w:val="005D5D74"/>
    <w:rsid w:val="005D7A3D"/>
    <w:rsid w:val="005D7EA7"/>
    <w:rsid w:val="005F4D6F"/>
    <w:rsid w:val="00601E87"/>
    <w:rsid w:val="00622CAA"/>
    <w:rsid w:val="00636826"/>
    <w:rsid w:val="006370D6"/>
    <w:rsid w:val="00644203"/>
    <w:rsid w:val="00645751"/>
    <w:rsid w:val="00655125"/>
    <w:rsid w:val="0065608A"/>
    <w:rsid w:val="006570E2"/>
    <w:rsid w:val="00664B0F"/>
    <w:rsid w:val="0067217D"/>
    <w:rsid w:val="00686871"/>
    <w:rsid w:val="006877BF"/>
    <w:rsid w:val="006933DF"/>
    <w:rsid w:val="006A0F26"/>
    <w:rsid w:val="006A5878"/>
    <w:rsid w:val="006A6440"/>
    <w:rsid w:val="006B7F60"/>
    <w:rsid w:val="006C6C49"/>
    <w:rsid w:val="006D75D3"/>
    <w:rsid w:val="006E1F40"/>
    <w:rsid w:val="006E2BC0"/>
    <w:rsid w:val="006E77CF"/>
    <w:rsid w:val="006F264F"/>
    <w:rsid w:val="006F32A0"/>
    <w:rsid w:val="006F41FB"/>
    <w:rsid w:val="006F549A"/>
    <w:rsid w:val="007046F7"/>
    <w:rsid w:val="00710A2B"/>
    <w:rsid w:val="00710ED1"/>
    <w:rsid w:val="00727BB1"/>
    <w:rsid w:val="00733BCA"/>
    <w:rsid w:val="0073643D"/>
    <w:rsid w:val="007444F1"/>
    <w:rsid w:val="00744F5B"/>
    <w:rsid w:val="0074511C"/>
    <w:rsid w:val="0074683A"/>
    <w:rsid w:val="0075045F"/>
    <w:rsid w:val="0076247F"/>
    <w:rsid w:val="00762F8E"/>
    <w:rsid w:val="00763AAD"/>
    <w:rsid w:val="00765E32"/>
    <w:rsid w:val="007729FB"/>
    <w:rsid w:val="0078524E"/>
    <w:rsid w:val="007A0A89"/>
    <w:rsid w:val="007B35CC"/>
    <w:rsid w:val="007B7677"/>
    <w:rsid w:val="007C565A"/>
    <w:rsid w:val="007C7E44"/>
    <w:rsid w:val="007D5986"/>
    <w:rsid w:val="007D7359"/>
    <w:rsid w:val="007E43D8"/>
    <w:rsid w:val="007F679F"/>
    <w:rsid w:val="0080643C"/>
    <w:rsid w:val="0081473C"/>
    <w:rsid w:val="00814DF4"/>
    <w:rsid w:val="008164CC"/>
    <w:rsid w:val="008204CF"/>
    <w:rsid w:val="00821323"/>
    <w:rsid w:val="0082205D"/>
    <w:rsid w:val="008326EE"/>
    <w:rsid w:val="00842691"/>
    <w:rsid w:val="00857EF3"/>
    <w:rsid w:val="00862462"/>
    <w:rsid w:val="00863CAD"/>
    <w:rsid w:val="00865C05"/>
    <w:rsid w:val="00871948"/>
    <w:rsid w:val="008735A0"/>
    <w:rsid w:val="00873A41"/>
    <w:rsid w:val="00874637"/>
    <w:rsid w:val="00884D20"/>
    <w:rsid w:val="00890115"/>
    <w:rsid w:val="008902A8"/>
    <w:rsid w:val="008932B1"/>
    <w:rsid w:val="008B6E79"/>
    <w:rsid w:val="008C2845"/>
    <w:rsid w:val="008C49D1"/>
    <w:rsid w:val="008C5482"/>
    <w:rsid w:val="008C6978"/>
    <w:rsid w:val="008C6992"/>
    <w:rsid w:val="008D063D"/>
    <w:rsid w:val="008D7CCE"/>
    <w:rsid w:val="008E0453"/>
    <w:rsid w:val="008E3ACA"/>
    <w:rsid w:val="008E4B95"/>
    <w:rsid w:val="008E603E"/>
    <w:rsid w:val="008E6B54"/>
    <w:rsid w:val="009059C4"/>
    <w:rsid w:val="00906089"/>
    <w:rsid w:val="00906EE1"/>
    <w:rsid w:val="0091097E"/>
    <w:rsid w:val="009168F1"/>
    <w:rsid w:val="00927678"/>
    <w:rsid w:val="0093161C"/>
    <w:rsid w:val="009360F0"/>
    <w:rsid w:val="00941ABD"/>
    <w:rsid w:val="00943889"/>
    <w:rsid w:val="00947D33"/>
    <w:rsid w:val="009523BA"/>
    <w:rsid w:val="009561B8"/>
    <w:rsid w:val="00961A3B"/>
    <w:rsid w:val="009639A0"/>
    <w:rsid w:val="00970863"/>
    <w:rsid w:val="00973534"/>
    <w:rsid w:val="00973D63"/>
    <w:rsid w:val="0098273B"/>
    <w:rsid w:val="00983318"/>
    <w:rsid w:val="009859EF"/>
    <w:rsid w:val="00995EEE"/>
    <w:rsid w:val="009A4CA7"/>
    <w:rsid w:val="009B0AF3"/>
    <w:rsid w:val="009B19DF"/>
    <w:rsid w:val="009B1D2C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438F"/>
    <w:rsid w:val="00A16116"/>
    <w:rsid w:val="00A23AD9"/>
    <w:rsid w:val="00A339A5"/>
    <w:rsid w:val="00A33C1E"/>
    <w:rsid w:val="00A34972"/>
    <w:rsid w:val="00A515BD"/>
    <w:rsid w:val="00A51EA7"/>
    <w:rsid w:val="00A55CE7"/>
    <w:rsid w:val="00A56589"/>
    <w:rsid w:val="00A57CF7"/>
    <w:rsid w:val="00A70AF4"/>
    <w:rsid w:val="00A715A7"/>
    <w:rsid w:val="00A73BAA"/>
    <w:rsid w:val="00A77506"/>
    <w:rsid w:val="00A8056A"/>
    <w:rsid w:val="00A80BEF"/>
    <w:rsid w:val="00A812E8"/>
    <w:rsid w:val="00A960D4"/>
    <w:rsid w:val="00AB177C"/>
    <w:rsid w:val="00AB2654"/>
    <w:rsid w:val="00AB6922"/>
    <w:rsid w:val="00AB768E"/>
    <w:rsid w:val="00AC01DA"/>
    <w:rsid w:val="00AD0643"/>
    <w:rsid w:val="00AD2757"/>
    <w:rsid w:val="00AD4823"/>
    <w:rsid w:val="00AE4D5C"/>
    <w:rsid w:val="00AE5B6C"/>
    <w:rsid w:val="00AE7FED"/>
    <w:rsid w:val="00AF42EB"/>
    <w:rsid w:val="00B0382B"/>
    <w:rsid w:val="00B04EDB"/>
    <w:rsid w:val="00B119FC"/>
    <w:rsid w:val="00B243BF"/>
    <w:rsid w:val="00B32A18"/>
    <w:rsid w:val="00B354AD"/>
    <w:rsid w:val="00B46C6C"/>
    <w:rsid w:val="00B55197"/>
    <w:rsid w:val="00B60594"/>
    <w:rsid w:val="00B647AB"/>
    <w:rsid w:val="00B647F5"/>
    <w:rsid w:val="00B65EB9"/>
    <w:rsid w:val="00B81CB8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C2BDF"/>
    <w:rsid w:val="00BD0687"/>
    <w:rsid w:val="00BD4A63"/>
    <w:rsid w:val="00BE09F9"/>
    <w:rsid w:val="00BE1D46"/>
    <w:rsid w:val="00BE20CC"/>
    <w:rsid w:val="00BE30BC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0AEF"/>
    <w:rsid w:val="00C43C81"/>
    <w:rsid w:val="00C46230"/>
    <w:rsid w:val="00C465CF"/>
    <w:rsid w:val="00C50828"/>
    <w:rsid w:val="00C55752"/>
    <w:rsid w:val="00C62A05"/>
    <w:rsid w:val="00C70E46"/>
    <w:rsid w:val="00C73BAB"/>
    <w:rsid w:val="00C758A6"/>
    <w:rsid w:val="00C75B34"/>
    <w:rsid w:val="00C8253E"/>
    <w:rsid w:val="00C84CEC"/>
    <w:rsid w:val="00C91CF0"/>
    <w:rsid w:val="00C95DA5"/>
    <w:rsid w:val="00C97332"/>
    <w:rsid w:val="00CA184E"/>
    <w:rsid w:val="00CA1988"/>
    <w:rsid w:val="00CA4E08"/>
    <w:rsid w:val="00CA5006"/>
    <w:rsid w:val="00CB0F3D"/>
    <w:rsid w:val="00CB268A"/>
    <w:rsid w:val="00CB52CB"/>
    <w:rsid w:val="00CB63DD"/>
    <w:rsid w:val="00CC3BEB"/>
    <w:rsid w:val="00CD2011"/>
    <w:rsid w:val="00CE561B"/>
    <w:rsid w:val="00CE6C49"/>
    <w:rsid w:val="00CF08DC"/>
    <w:rsid w:val="00CF2F26"/>
    <w:rsid w:val="00CF3CAD"/>
    <w:rsid w:val="00CF6DF4"/>
    <w:rsid w:val="00D0025F"/>
    <w:rsid w:val="00D04223"/>
    <w:rsid w:val="00D049EB"/>
    <w:rsid w:val="00D04C54"/>
    <w:rsid w:val="00D06491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A6CCD"/>
    <w:rsid w:val="00DB4262"/>
    <w:rsid w:val="00DB77D2"/>
    <w:rsid w:val="00DC3250"/>
    <w:rsid w:val="00DC45D3"/>
    <w:rsid w:val="00DE0A8D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55034"/>
    <w:rsid w:val="00E71AD1"/>
    <w:rsid w:val="00E75670"/>
    <w:rsid w:val="00E8299E"/>
    <w:rsid w:val="00E835B7"/>
    <w:rsid w:val="00E835E5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3412"/>
    <w:rsid w:val="00EC4E77"/>
    <w:rsid w:val="00ED6FC2"/>
    <w:rsid w:val="00EE0FFF"/>
    <w:rsid w:val="00F07CA2"/>
    <w:rsid w:val="00F11A21"/>
    <w:rsid w:val="00F11CC8"/>
    <w:rsid w:val="00F16FCA"/>
    <w:rsid w:val="00F23FEB"/>
    <w:rsid w:val="00F26C94"/>
    <w:rsid w:val="00F5348D"/>
    <w:rsid w:val="00F56C56"/>
    <w:rsid w:val="00F60B50"/>
    <w:rsid w:val="00F615E9"/>
    <w:rsid w:val="00F62635"/>
    <w:rsid w:val="00F646CC"/>
    <w:rsid w:val="00F728CB"/>
    <w:rsid w:val="00F7628A"/>
    <w:rsid w:val="00F77496"/>
    <w:rsid w:val="00F77C79"/>
    <w:rsid w:val="00F834E4"/>
    <w:rsid w:val="00F84543"/>
    <w:rsid w:val="00F85CC3"/>
    <w:rsid w:val="00F97900"/>
    <w:rsid w:val="00FA3172"/>
    <w:rsid w:val="00FA4971"/>
    <w:rsid w:val="00FB40D5"/>
    <w:rsid w:val="00FC4067"/>
    <w:rsid w:val="00FD184B"/>
    <w:rsid w:val="00FD47BE"/>
    <w:rsid w:val="00FD73F5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417D3"/>
  <w15:docId w15:val="{8612AEB5-2936-4CD8-A350-163AF75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95EEE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DC86-5F0D-4F39-B18A-47386E60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1750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Kučera Ondřej | ONMB</cp:lastModifiedBy>
  <cp:revision>39</cp:revision>
  <cp:lastPrinted>2022-01-11T09:42:00Z</cp:lastPrinted>
  <dcterms:created xsi:type="dcterms:W3CDTF">2023-05-11T13:21:00Z</dcterms:created>
  <dcterms:modified xsi:type="dcterms:W3CDTF">2025-05-26T04:05:00Z</dcterms:modified>
</cp:coreProperties>
</file>