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F2CDE" w:rsidRDefault="005D2F80" w:rsidP="005D2F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2" w:hanging="4"/>
        <w:jc w:val="center"/>
        <w:rPr>
          <w:color w:val="000000"/>
        </w:rPr>
      </w:pPr>
      <w:r>
        <w:rPr>
          <w:rFonts w:ascii="Open Sans" w:eastAsia="Open Sans" w:hAnsi="Open Sans" w:cs="Open Sans"/>
          <w:b/>
          <w:color w:val="000000"/>
          <w:sz w:val="36"/>
          <w:szCs w:val="36"/>
        </w:rPr>
        <w:t xml:space="preserve">Smlouva o zajištění expedice </w:t>
      </w:r>
      <w:proofErr w:type="spellStart"/>
      <w:r>
        <w:rPr>
          <w:rFonts w:ascii="Open Sans" w:eastAsia="Open Sans" w:hAnsi="Open Sans" w:cs="Open Sans"/>
          <w:b/>
          <w:color w:val="000000"/>
          <w:sz w:val="36"/>
          <w:szCs w:val="36"/>
        </w:rPr>
        <w:t>Banát</w:t>
      </w:r>
      <w:proofErr w:type="spellEnd"/>
      <w:r>
        <w:rPr>
          <w:rFonts w:ascii="Open Sans" w:eastAsia="Open Sans" w:hAnsi="Open Sans" w:cs="Open Sans"/>
          <w:b/>
          <w:color w:val="000000"/>
          <w:sz w:val="36"/>
          <w:szCs w:val="36"/>
        </w:rPr>
        <w:t xml:space="preserve"> 20</w:t>
      </w:r>
      <w:r>
        <w:rPr>
          <w:rFonts w:ascii="Open Sans" w:eastAsia="Open Sans" w:hAnsi="Open Sans" w:cs="Open Sans"/>
          <w:b/>
          <w:sz w:val="36"/>
          <w:szCs w:val="36"/>
        </w:rPr>
        <w:t>25</w:t>
      </w:r>
    </w:p>
    <w:p w14:paraId="00000002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16"/>
          <w:szCs w:val="16"/>
        </w:rPr>
      </w:pPr>
    </w:p>
    <w:p w14:paraId="00000003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                                    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  <w:t xml:space="preserve">                smluvní strany:</w:t>
      </w:r>
    </w:p>
    <w:p w14:paraId="00000004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16"/>
          <w:szCs w:val="16"/>
        </w:rPr>
      </w:pPr>
    </w:p>
    <w:p w14:paraId="00000005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i/>
          <w:color w:val="000000"/>
          <w:sz w:val="22"/>
          <w:szCs w:val="22"/>
          <w:u w:val="single"/>
        </w:rPr>
        <w:t>Dodavatel: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                                                                                         </w:t>
      </w:r>
    </w:p>
    <w:p w14:paraId="00000006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i/>
          <w:color w:val="000000"/>
          <w:sz w:val="22"/>
          <w:szCs w:val="22"/>
        </w:rPr>
        <w:t>VisitBanat</w:t>
      </w:r>
      <w:proofErr w:type="spellEnd"/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2"/>
          <w:szCs w:val="22"/>
        </w:rPr>
        <w:t>service</w:t>
      </w:r>
      <w:proofErr w:type="spellEnd"/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2"/>
          <w:szCs w:val="22"/>
        </w:rPr>
        <w:t>s.r.o</w:t>
      </w:r>
      <w:proofErr w:type="spellEnd"/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  <w:t xml:space="preserve"> 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                    </w:t>
      </w:r>
    </w:p>
    <w:p w14:paraId="00000007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>sídlo: Moskevská 1712/25, Česká Lípa 47001,</w:t>
      </w:r>
    </w:p>
    <w:p w14:paraId="00000008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IČO: </w:t>
      </w:r>
      <w:r>
        <w:rPr>
          <w:rFonts w:ascii="Cambria" w:eastAsia="Cambria" w:hAnsi="Cambria" w:cs="Cambria"/>
          <w:i/>
          <w:sz w:val="22"/>
          <w:szCs w:val="22"/>
        </w:rPr>
        <w:t xml:space="preserve">10773703 </w:t>
      </w:r>
    </w:p>
    <w:p w14:paraId="00000009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0000000A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0B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>Dále jen „dodavatel“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  <w:t xml:space="preserve">                  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  <w:t xml:space="preserve"> </w:t>
      </w:r>
    </w:p>
    <w:p w14:paraId="0000000C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0D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i/>
          <w:color w:val="000000"/>
          <w:sz w:val="22"/>
          <w:szCs w:val="22"/>
          <w:u w:val="single"/>
        </w:rPr>
        <w:t>Odběratel:</w:t>
      </w:r>
    </w:p>
    <w:p w14:paraId="0000000E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</w:rPr>
      </w:pPr>
      <w:hyperlink r:id="rId7">
        <w:r>
          <w:rPr>
            <w:rFonts w:ascii="Cambria" w:eastAsia="Cambria" w:hAnsi="Cambria" w:cs="Cambria"/>
          </w:rPr>
          <w:t>Základní škola, Česká Lípa, Partyzánská 1053, příspěvková organizace</w:t>
        </w:r>
      </w:hyperlink>
    </w:p>
    <w:p w14:paraId="0000000F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sídlo: Partyzánská 1053/55, Česká Lípa 47001</w:t>
      </w:r>
    </w:p>
    <w:p w14:paraId="00000010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</w:rPr>
        <w:t>IČO: 48283029</w:t>
      </w:r>
    </w:p>
    <w:p w14:paraId="00000011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373737"/>
          <w:sz w:val="23"/>
          <w:szCs w:val="23"/>
        </w:rPr>
      </w:pPr>
    </w:p>
    <w:p w14:paraId="00000012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>Dále jen „odběratel“</w:t>
      </w:r>
    </w:p>
    <w:p w14:paraId="00000013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  <w:t xml:space="preserve"> </w:t>
      </w:r>
    </w:p>
    <w:p w14:paraId="00000014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  <w:t xml:space="preserve">  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  <w:t xml:space="preserve">       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ab/>
        <w:t xml:space="preserve"> </w:t>
      </w:r>
    </w:p>
    <w:p w14:paraId="00000015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016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I. Dodavatel zajistí následující služby:</w:t>
      </w:r>
    </w:p>
    <w:p w14:paraId="00000017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8" w14:textId="77777777" w:rsidR="00CF2CDE" w:rsidRDefault="005D2F80" w:rsidP="005D2F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Zorganizovat pro odběratele studentskou poznávací cestu “expedice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Banát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” v termínu </w:t>
      </w:r>
      <w:r>
        <w:rPr>
          <w:rFonts w:ascii="Calibri" w:eastAsia="Calibri" w:hAnsi="Calibri" w:cs="Calibri"/>
          <w:sz w:val="22"/>
          <w:szCs w:val="22"/>
        </w:rPr>
        <w:t>6.6.-</w:t>
      </w:r>
      <w:proofErr w:type="gramStart"/>
      <w:r>
        <w:rPr>
          <w:rFonts w:ascii="Calibri" w:eastAsia="Calibri" w:hAnsi="Calibri" w:cs="Calibri"/>
          <w:sz w:val="22"/>
          <w:szCs w:val="22"/>
        </w:rPr>
        <w:t>15.6</w:t>
      </w:r>
      <w:r>
        <w:rPr>
          <w:rFonts w:ascii="Calibri" w:eastAsia="Calibri" w:hAnsi="Calibri" w:cs="Calibri"/>
          <w:color w:val="000000"/>
          <w:sz w:val="22"/>
          <w:szCs w:val="22"/>
        </w:rPr>
        <w:t>.202</w:t>
      </w:r>
      <w:r>
        <w:rPr>
          <w:rFonts w:ascii="Calibri" w:eastAsia="Calibri" w:hAnsi="Calibri" w:cs="Calibri"/>
          <w:sz w:val="22"/>
          <w:szCs w:val="22"/>
        </w:rPr>
        <w:t>5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(délka zájezdu je de</w:t>
      </w:r>
      <w:r>
        <w:rPr>
          <w:rFonts w:ascii="Calibri" w:eastAsia="Calibri" w:hAnsi="Calibri" w:cs="Calibri"/>
          <w:sz w:val="22"/>
          <w:szCs w:val="22"/>
        </w:rPr>
        <w:t>vítidenní</w:t>
      </w:r>
      <w:r>
        <w:rPr>
          <w:rFonts w:ascii="Calibri" w:eastAsia="Calibri" w:hAnsi="Calibri" w:cs="Calibri"/>
          <w:color w:val="000000"/>
          <w:sz w:val="22"/>
          <w:szCs w:val="22"/>
        </w:rPr>
        <w:t>) na základě dohodnutého programu.</w:t>
      </w:r>
    </w:p>
    <w:p w14:paraId="00000019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00001A" w14:textId="77777777" w:rsidR="00CF2CDE" w:rsidRDefault="005D2F80" w:rsidP="005D2F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Zprostředkovat 7 x nocleh s polopenzí na vybraných místech dle předchozího schváleného plánu.</w:t>
      </w:r>
    </w:p>
    <w:p w14:paraId="0000001B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C" w14:textId="77777777" w:rsidR="00CF2CDE" w:rsidRDefault="005D2F80" w:rsidP="005D2F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Zprostředkovat dopravu zahraničním zájezdovým autobusem dle počtu přihlášených osob. Autobus bude přistaven v den odjezdu i příjezdu na místo požadované odběrate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lem. </w:t>
      </w:r>
    </w:p>
    <w:p w14:paraId="0000001D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E" w14:textId="77777777" w:rsidR="00CF2CDE" w:rsidRDefault="005D2F80" w:rsidP="005D2F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Dodržet vzájemně dohodnutou cenu zájezdu dle kalkulace. V ceně je zahrnuta kompletní doprava včetně všech poplatků, příprava programu, ubytování a stravování dle dohody s odběratelem, převozy batohů a průvodcovské služby. </w:t>
      </w:r>
    </w:p>
    <w:p w14:paraId="0000001F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0" w14:textId="77777777" w:rsidR="00CF2CDE" w:rsidRDefault="005D2F80" w:rsidP="005D2F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Storno poplatky. </w:t>
      </w:r>
    </w:p>
    <w:p w14:paraId="00000021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2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5.A) Dodavatel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akce se zavazuje, v případě zrušení celé expedice z jakéhokoliv důvodu dodavatele, vrátit celou platbu. </w:t>
      </w:r>
    </w:p>
    <w:p w14:paraId="00000023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4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5.B) V případě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zrušení celé expedice z jakéhokoliv důvodu odběratele, si dodavatel nechává zaplacenou zálohu.</w:t>
      </w:r>
    </w:p>
    <w:p w14:paraId="00000025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6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5.C) Dodavatel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akce se z</w:t>
      </w:r>
      <w:r>
        <w:rPr>
          <w:rFonts w:ascii="Calibri" w:eastAsia="Calibri" w:hAnsi="Calibri" w:cs="Calibri"/>
          <w:color w:val="000000"/>
          <w:sz w:val="22"/>
          <w:szCs w:val="22"/>
        </w:rPr>
        <w:t>avazuje, v případě zrušení expedice od jednotlivých účastníků odběratele, vrátit 2/3 platby jednotlivých účastníků v případě prokázání zdravotních či jiných výjimečných komplikací konkrétních účastníků, které vedly k jejich neúčasti na expedici.  Pokud úča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stníci neprokáží zdravotní či jiné výjimečné komplikace, kvůli kterým se expedice nemohli účastnit a svou účast na expedici zruší, dodavatel akce se zavazuje vrátit 1/3 platby jednotlivých účastníků. </w:t>
      </w:r>
    </w:p>
    <w:p w14:paraId="00000027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8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5.D) Pokud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jednotlivý účastník nemůže akce zúčastni</w:t>
      </w:r>
      <w:r>
        <w:rPr>
          <w:rFonts w:ascii="Calibri" w:eastAsia="Calibri" w:hAnsi="Calibri" w:cs="Calibri"/>
          <w:color w:val="000000"/>
          <w:sz w:val="22"/>
          <w:szCs w:val="22"/>
        </w:rPr>
        <w:t>t, může se místo něj zúčastnit náhradník bez dalšího navýšení ceny.</w:t>
      </w:r>
    </w:p>
    <w:p w14:paraId="00000029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A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B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C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D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2E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2F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II. Odběratel se zavazuje:</w:t>
      </w:r>
    </w:p>
    <w:p w14:paraId="00000030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1" w14:textId="77777777" w:rsidR="00CF2CDE" w:rsidRDefault="005D2F80" w:rsidP="005D2F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Obsadit zájezd platícími účastníky. V případě nižšího počtu účastníků než je kapacita expedice je povinen toto ihned ohlásit dodavateli, který na základě této skutečnosti případně upraví cenu zájezdu na jednoho účastníka (pouze po vzájemné dohodě s odběrat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elem). </w:t>
      </w:r>
    </w:p>
    <w:p w14:paraId="00000032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3" w14:textId="7523B449" w:rsidR="00CF2CDE" w:rsidRDefault="005D2F80" w:rsidP="005D2F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Poslat zálohu na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účet </w:t>
      </w:r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highlight w:val="white"/>
        </w:rPr>
        <w:t>2501972886</w:t>
      </w:r>
      <w:proofErr w:type="gramEnd"/>
      <w:r>
        <w:rPr>
          <w:rFonts w:ascii="Arial" w:eastAsia="Arial" w:hAnsi="Arial" w:cs="Arial"/>
          <w:i/>
          <w:highlight w:val="white"/>
        </w:rPr>
        <w:t xml:space="preserve"> / 2010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 </w:t>
      </w:r>
      <w:r>
        <w:rPr>
          <w:rFonts w:ascii="Calibri" w:eastAsia="Calibri" w:hAnsi="Calibri" w:cs="Calibri"/>
          <w:sz w:val="22"/>
          <w:szCs w:val="22"/>
        </w:rPr>
        <w:t>30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>.202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do zprávy pro příjemce uvést </w:t>
      </w:r>
      <w:r>
        <w:rPr>
          <w:rFonts w:ascii="Calibri" w:eastAsia="Calibri" w:hAnsi="Calibri" w:cs="Calibri"/>
          <w:sz w:val="22"/>
          <w:szCs w:val="22"/>
          <w:u w:val="single"/>
        </w:rPr>
        <w:t>ZŠ Partyzánská.</w:t>
      </w:r>
    </w:p>
    <w:p w14:paraId="00000034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5" w14:textId="77777777" w:rsidR="00CF2CDE" w:rsidRDefault="005D2F80" w:rsidP="005D2F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Uhradit doplatek ceny expedice, po zohlednění  skutečného  počtu účastníků, na účet  </w:t>
      </w:r>
      <w:r>
        <w:rPr>
          <w:rFonts w:ascii="Arial" w:eastAsia="Arial" w:hAnsi="Arial" w:cs="Arial"/>
          <w:highlight w:val="white"/>
        </w:rPr>
        <w:t xml:space="preserve">2501972886 / 2010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proofErr w:type="gramStart"/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>.202</w:t>
      </w:r>
      <w:r>
        <w:rPr>
          <w:rFonts w:ascii="Calibri" w:eastAsia="Calibri" w:hAnsi="Calibri" w:cs="Calibri"/>
          <w:sz w:val="22"/>
          <w:szCs w:val="22"/>
        </w:rPr>
        <w:t>5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 do zprávy pro příjemce </w:t>
      </w:r>
      <w:r>
        <w:rPr>
          <w:rFonts w:ascii="Calibri" w:eastAsia="Calibri" w:hAnsi="Calibri" w:cs="Calibri"/>
          <w:sz w:val="22"/>
          <w:szCs w:val="22"/>
          <w:u w:val="single"/>
        </w:rPr>
        <w:t>ZŠ Partyzánská.</w:t>
      </w:r>
    </w:p>
    <w:p w14:paraId="00000036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7" w14:textId="77777777" w:rsidR="00CF2CDE" w:rsidRDefault="005D2F80" w:rsidP="005D2F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Zajistit pedagogický doprovod nad zúčastněnými studenty po celou dobu zájezdu. Odběratel se také zavazuje seznámit dodavatele se zdravotním stavem celého expedičního týmu a případně předložit veškeré potřebné podklady u osob, kterých se tý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kají různé zdravotní komplikace, které by mohly být příčinou zkomplikování chodu celé expedice. </w:t>
      </w:r>
    </w:p>
    <w:p w14:paraId="00000038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9" w14:textId="77777777" w:rsidR="00CF2CDE" w:rsidRDefault="005D2F80" w:rsidP="005D2F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Odběratel se zavazuje zajistit a zkontrolovat před odjezdem platné cestovní pojištění všech účastníků a platný cestovní pas či občanský průkaz. Odběratel dále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respektuje vízové povinnosti cizích států pro vstup na území Rumunska (Vietnam, USA apod.).</w:t>
      </w:r>
    </w:p>
    <w:p w14:paraId="0000003A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B" w14:textId="77777777" w:rsidR="00CF2CDE" w:rsidRDefault="005D2F80" w:rsidP="005D2F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Informovat dodavatele o všech okolnostech, které mají vliv na cenu a organizaci zájezdu, tj. nižší počet účastníků, návrh na změnu trasy, termínu atd.</w:t>
      </w:r>
    </w:p>
    <w:p w14:paraId="0000003C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D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E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III. Závěrečná ustanovení:</w:t>
      </w:r>
    </w:p>
    <w:p w14:paraId="0000003F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0" w14:textId="77777777" w:rsidR="00CF2CDE" w:rsidRDefault="005D2F80" w:rsidP="005D2F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Dodavatel neručí za následky nepříznivých povětrnostních podmínek, přírodních katastrof, dopravních kolapsů, zdržení na hraničních přechodech, ztráty pasu klientů, následky stávek, povstání a válek. Výlohy, které tímto vzniknou účastníkům, nemůže dodavatel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 žádném případě hradit. </w:t>
      </w:r>
    </w:p>
    <w:p w14:paraId="00000041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2" w14:textId="77777777" w:rsidR="00CF2CDE" w:rsidRDefault="005D2F80" w:rsidP="005D2F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Obě smluvní strany se zavazují vzájemně se včas informovat o všech důležitých skutečnostech vyplývajících z plnění smlouvy.</w:t>
      </w:r>
    </w:p>
    <w:p w14:paraId="00000043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4" w14:textId="77777777" w:rsidR="00CF2CDE" w:rsidRDefault="005D2F80" w:rsidP="005D2F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Veškeré změny nebo dodatky jsou platné pouze tehdy, jestliže budou sjednány v písemné formě a podepsány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odpovědnými zástupci obou stran. Případné spory, pokud se během realizace zájezdu vyskytnou, budou přednostně řešeny vzájemnou dohodou smluvních stran.</w:t>
      </w:r>
    </w:p>
    <w:p w14:paraId="00000045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6" w14:textId="77777777" w:rsidR="00CF2CDE" w:rsidRDefault="005D2F80" w:rsidP="005D2F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Smlouva je vyhotovena ve dvou stejnopisech, po jednom pro každou smluvní stranu.</w:t>
      </w:r>
    </w:p>
    <w:p w14:paraId="00000047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8" w14:textId="77777777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000049" w14:textId="5DCC234B" w:rsidR="00CF2CDE" w:rsidRDefault="005D2F80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V České Lípě dne</w:t>
      </w:r>
      <w:r>
        <w:rPr>
          <w:rFonts w:ascii="Calibri" w:eastAsia="Calibri" w:hAnsi="Calibri" w:cs="Calibri"/>
          <w:color w:val="C0504D"/>
          <w:sz w:val="22"/>
          <w:szCs w:val="22"/>
        </w:rPr>
        <w:t xml:space="preserve"> </w:t>
      </w:r>
      <w:r w:rsidRPr="005D2F80">
        <w:rPr>
          <w:rFonts w:ascii="Calibri" w:eastAsia="Calibri" w:hAnsi="Calibri" w:cs="Calibri"/>
          <w:sz w:val="22"/>
          <w:szCs w:val="22"/>
        </w:rPr>
        <w:t>29. 4. 2025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V </w:t>
      </w:r>
      <w:r>
        <w:rPr>
          <w:rFonts w:ascii="Calibri" w:eastAsia="Calibri" w:hAnsi="Calibri" w:cs="Calibri"/>
          <w:sz w:val="22"/>
          <w:szCs w:val="22"/>
        </w:rPr>
        <w:t xml:space="preserve">České Lípě dne </w:t>
      </w:r>
    </w:p>
    <w:p w14:paraId="0000004A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B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0000004C" w14:textId="77777777" w:rsidR="00CF2CDE" w:rsidRDefault="00CF2CDE" w:rsidP="005D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4D" w14:textId="77777777" w:rsidR="00CF2CDE" w:rsidRDefault="005D2F80" w:rsidP="00CF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……………………………………………..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………………………………………………..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</w:t>
      </w:r>
    </w:p>
    <w:sectPr w:rsidR="00CF2CDE">
      <w:pgSz w:w="11906" w:h="16838"/>
      <w:pgMar w:top="851" w:right="851" w:bottom="964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CB6"/>
    <w:multiLevelType w:val="multilevel"/>
    <w:tmpl w:val="6FDCAF0A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4DF4839"/>
    <w:multiLevelType w:val="multilevel"/>
    <w:tmpl w:val="F6B641C2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Open Sans" w:hAnsi="Open Sans" w:cs="Open San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2CE2694"/>
    <w:multiLevelType w:val="multilevel"/>
    <w:tmpl w:val="8700A598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Open Sans" w:hAnsi="Open Sans" w:cs="Open San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pStyle w:val="Nadpis4"/>
      <w:lvlText w:val=""/>
      <w:lvlJc w:val="left"/>
      <w:pPr>
        <w:ind w:left="0" w:firstLine="0"/>
      </w:pPr>
    </w:lvl>
    <w:lvl w:ilvl="4">
      <w:start w:val="1"/>
      <w:numFmt w:val="bullet"/>
      <w:pStyle w:val="Nadpis5"/>
      <w:lvlText w:val=""/>
      <w:lvlJc w:val="left"/>
      <w:pPr>
        <w:ind w:left="0" w:firstLine="0"/>
      </w:pPr>
    </w:lvl>
    <w:lvl w:ilvl="5">
      <w:start w:val="1"/>
      <w:numFmt w:val="bullet"/>
      <w:pStyle w:val="Nadpis6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F2CDE"/>
    <w:rsid w:val="005D2F80"/>
    <w:rsid w:val="00C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widowControl w:val="0"/>
      <w:numPr>
        <w:ilvl w:val="3"/>
        <w:numId w:val="1"/>
      </w:numPr>
      <w:ind w:left="-1" w:hanging="1"/>
      <w:jc w:val="both"/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Normln"/>
    <w:pPr>
      <w:keepNext/>
      <w:widowControl w:val="0"/>
      <w:numPr>
        <w:ilvl w:val="4"/>
        <w:numId w:val="1"/>
      </w:numPr>
      <w:ind w:left="-1" w:hanging="1"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pPr>
      <w:keepNext/>
      <w:widowControl w:val="0"/>
      <w:numPr>
        <w:ilvl w:val="5"/>
        <w:numId w:val="1"/>
      </w:numPr>
      <w:ind w:left="-1" w:hanging="1"/>
      <w:outlineLvl w:val="5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Myriad Pro" w:hAnsi="Myriad Pro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Myriad Pro" w:hAnsi="Myriad Pro" w:cs="Myriad Pro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Myriad Pro" w:hAnsi="Myriad Pro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4Char">
    <w:name w:val="Nadpis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5Char">
    <w:name w:val="Nadpis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dpis6Char">
    <w:name w:val="Nadpis 6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kladntextChar">
    <w:name w:val="Základní text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  <w:lang w:val="en-US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rFonts w:ascii="Arial" w:hAnsi="Arial" w:cs="Arial"/>
      <w:lang w:val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pPr>
      <w:ind w:left="708" w:firstLine="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pPr>
      <w:autoSpaceDE/>
      <w:spacing w:before="100" w:after="100"/>
    </w:pPr>
    <w:rPr>
      <w:sz w:val="24"/>
      <w:szCs w:val="24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widowControl w:val="0"/>
      <w:numPr>
        <w:ilvl w:val="3"/>
        <w:numId w:val="1"/>
      </w:numPr>
      <w:ind w:left="-1" w:hanging="1"/>
      <w:jc w:val="both"/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Normln"/>
    <w:pPr>
      <w:keepNext/>
      <w:widowControl w:val="0"/>
      <w:numPr>
        <w:ilvl w:val="4"/>
        <w:numId w:val="1"/>
      </w:numPr>
      <w:ind w:left="-1" w:hanging="1"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pPr>
      <w:keepNext/>
      <w:widowControl w:val="0"/>
      <w:numPr>
        <w:ilvl w:val="5"/>
        <w:numId w:val="1"/>
      </w:numPr>
      <w:ind w:left="-1" w:hanging="1"/>
      <w:outlineLvl w:val="5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Myriad Pro" w:hAnsi="Myriad Pro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Myriad Pro" w:hAnsi="Myriad Pro" w:cs="Myriad Pro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Myriad Pro" w:hAnsi="Myriad Pro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4Char">
    <w:name w:val="Nadpis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5Char">
    <w:name w:val="Nadpis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dpis6Char">
    <w:name w:val="Nadpis 6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kladntextChar">
    <w:name w:val="Základní text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  <w:lang w:val="en-US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rFonts w:ascii="Arial" w:hAnsi="Arial" w:cs="Arial"/>
      <w:lang w:val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pPr>
      <w:ind w:left="708" w:firstLine="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pPr>
      <w:autoSpaceDE/>
      <w:spacing w:before="100" w:after="100"/>
    </w:pPr>
    <w:rPr>
      <w:sz w:val="24"/>
      <w:szCs w:val="24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je.superfaktura.cz/clients/view/23423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8D0aD6Lrr2to2mmsbxRrXH88ug==">CgMxLjA4AHIhMUlEMGdxQXFRcDRJQWtlTmEwS3I0NGNwUVREQV9pSFhB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Havel</dc:creator>
  <cp:lastModifiedBy>Rathouzová Věra</cp:lastModifiedBy>
  <cp:revision>2</cp:revision>
  <dcterms:created xsi:type="dcterms:W3CDTF">2020-01-21T08:17:00Z</dcterms:created>
  <dcterms:modified xsi:type="dcterms:W3CDTF">2025-05-29T06:23:00Z</dcterms:modified>
</cp:coreProperties>
</file>