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3561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</w:p>
    <w:p w14:paraId="5E85B22A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</w:p>
    <w:p w14:paraId="4A10CCA0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 </w:t>
      </w:r>
    </w:p>
    <w:p w14:paraId="0186E807" w14:textId="77777777" w:rsidR="002E0C66" w:rsidRDefault="00A04865">
      <w:pPr>
        <w:pStyle w:val="Nadpis3"/>
        <w:rPr>
          <w:rFonts w:ascii="CG Times" w:hAnsi="CG Times"/>
          <w:color w:val="000000"/>
          <w:sz w:val="48"/>
        </w:rPr>
      </w:pPr>
      <w:r>
        <w:rPr>
          <w:rFonts w:ascii="CG Times" w:hAnsi="CG Times"/>
          <w:color w:val="000000"/>
          <w:sz w:val="48"/>
        </w:rPr>
        <w:t>P</w:t>
      </w:r>
      <w:r w:rsidR="0017625F">
        <w:rPr>
          <w:rFonts w:ascii="CG Times" w:hAnsi="CG Times"/>
          <w:color w:val="000000"/>
          <w:sz w:val="48"/>
        </w:rPr>
        <w:t xml:space="preserve"> </w:t>
      </w:r>
      <w:r>
        <w:rPr>
          <w:rFonts w:ascii="CG Times" w:hAnsi="CG Times"/>
          <w:color w:val="000000"/>
          <w:sz w:val="48"/>
        </w:rPr>
        <w:t>O</w:t>
      </w:r>
      <w:r w:rsidR="0017625F">
        <w:rPr>
          <w:rFonts w:ascii="CG Times" w:hAnsi="CG Times"/>
          <w:color w:val="000000"/>
          <w:sz w:val="48"/>
        </w:rPr>
        <w:t xml:space="preserve"> </w:t>
      </w:r>
      <w:r>
        <w:rPr>
          <w:rFonts w:ascii="CG Times" w:hAnsi="CG Times"/>
          <w:color w:val="000000"/>
          <w:sz w:val="48"/>
        </w:rPr>
        <w:t xml:space="preserve">D </w:t>
      </w:r>
      <w:r w:rsidR="002E0C66">
        <w:rPr>
          <w:rFonts w:ascii="CG Times" w:hAnsi="CG Times"/>
          <w:color w:val="000000"/>
          <w:sz w:val="48"/>
        </w:rPr>
        <w:t>N Á J E M N Í   S M L O U V A</w:t>
      </w:r>
    </w:p>
    <w:p w14:paraId="2F7FF61D" w14:textId="77777777" w:rsidR="00AD0FD0" w:rsidRPr="00D77808" w:rsidRDefault="00086173" w:rsidP="00AD0FD0">
      <w:pPr>
        <w:jc w:val="center"/>
        <w:rPr>
          <w:sz w:val="24"/>
          <w:szCs w:val="24"/>
        </w:rPr>
      </w:pPr>
      <w:r w:rsidRPr="00D77808">
        <w:rPr>
          <w:sz w:val="24"/>
          <w:szCs w:val="24"/>
        </w:rPr>
        <w:t>Níže uvedené s</w:t>
      </w:r>
      <w:r w:rsidR="00AD0FD0" w:rsidRPr="00D77808">
        <w:rPr>
          <w:sz w:val="24"/>
          <w:szCs w:val="24"/>
        </w:rPr>
        <w:t>mluvní strany uzavřely níže uvedeného data v souladu se zákonem č.89/2012 Sb., ve</w:t>
      </w:r>
      <w:r w:rsidR="00F1255C" w:rsidRPr="00D77808">
        <w:rPr>
          <w:sz w:val="24"/>
          <w:szCs w:val="24"/>
        </w:rPr>
        <w:t xml:space="preserve"> znění pozdějších předpisů tuto podnájemní</w:t>
      </w:r>
      <w:r w:rsidR="00AD0FD0" w:rsidRPr="00D77808">
        <w:rPr>
          <w:sz w:val="24"/>
          <w:szCs w:val="24"/>
        </w:rPr>
        <w:t xml:space="preserve"> smlouvu:</w:t>
      </w:r>
    </w:p>
    <w:p w14:paraId="5B117866" w14:textId="77777777" w:rsidR="002E0C66" w:rsidRDefault="002E0C66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</w:p>
    <w:p w14:paraId="4844B96F" w14:textId="77777777" w:rsidR="00A04865" w:rsidRDefault="00A04865" w:rsidP="00A04865">
      <w:pPr>
        <w:pStyle w:val="Nadpis1"/>
      </w:pPr>
      <w:r>
        <w:t>Lázně Hodonín, s.r.o.</w:t>
      </w:r>
    </w:p>
    <w:p w14:paraId="0F8AA75A" w14:textId="77777777" w:rsidR="00A04865" w:rsidRPr="00230FF1" w:rsidRDefault="00F1255C" w:rsidP="00A04865">
      <w:pPr>
        <w:rPr>
          <w:snapToGrid w:val="0"/>
          <w:sz w:val="24"/>
        </w:rPr>
      </w:pPr>
      <w:r>
        <w:rPr>
          <w:snapToGrid w:val="0"/>
          <w:sz w:val="24"/>
        </w:rPr>
        <w:t xml:space="preserve">se sídlem </w:t>
      </w:r>
      <w:r w:rsidR="00A04865" w:rsidRPr="00230FF1">
        <w:rPr>
          <w:snapToGrid w:val="0"/>
          <w:sz w:val="24"/>
        </w:rPr>
        <w:t>Měšťanská 3559/140, 695 01 Hodonín</w:t>
      </w:r>
    </w:p>
    <w:p w14:paraId="5542DADF" w14:textId="77777777" w:rsidR="00A04865" w:rsidRPr="00230FF1" w:rsidRDefault="00A04865" w:rsidP="00A04865">
      <w:pPr>
        <w:rPr>
          <w:snapToGrid w:val="0"/>
          <w:sz w:val="24"/>
        </w:rPr>
      </w:pPr>
      <w:r w:rsidRPr="00230FF1">
        <w:rPr>
          <w:snapToGrid w:val="0"/>
          <w:sz w:val="24"/>
        </w:rPr>
        <w:t>zastoupené</w:t>
      </w:r>
      <w:r w:rsidR="004D0A8A">
        <w:rPr>
          <w:snapToGrid w:val="0"/>
          <w:sz w:val="24"/>
        </w:rPr>
        <w:t xml:space="preserve"> jednatelkou Mgr. Andreou Kubátovou</w:t>
      </w:r>
    </w:p>
    <w:p w14:paraId="00D3792D" w14:textId="77777777" w:rsidR="00A04865" w:rsidRPr="00230FF1" w:rsidRDefault="004D0A8A" w:rsidP="00A04865">
      <w:pPr>
        <w:rPr>
          <w:snapToGrid w:val="0"/>
          <w:sz w:val="24"/>
        </w:rPr>
      </w:pPr>
      <w:r>
        <w:rPr>
          <w:snapToGrid w:val="0"/>
          <w:sz w:val="24"/>
        </w:rPr>
        <w:t>IČ: 06458</w:t>
      </w:r>
      <w:r w:rsidR="00A04865" w:rsidRPr="00230FF1">
        <w:rPr>
          <w:snapToGrid w:val="0"/>
          <w:sz w:val="24"/>
        </w:rPr>
        <w:t>467</w:t>
      </w:r>
    </w:p>
    <w:p w14:paraId="4BDC76DC" w14:textId="77777777" w:rsidR="00A04865" w:rsidRPr="00230FF1" w:rsidRDefault="004D0A8A" w:rsidP="00A04865">
      <w:pPr>
        <w:rPr>
          <w:snapToGrid w:val="0"/>
          <w:sz w:val="24"/>
        </w:rPr>
      </w:pPr>
      <w:r>
        <w:rPr>
          <w:snapToGrid w:val="0"/>
          <w:sz w:val="24"/>
        </w:rPr>
        <w:t>DIČ: CZ</w:t>
      </w:r>
      <w:r w:rsidR="00A04865" w:rsidRPr="00230FF1">
        <w:rPr>
          <w:snapToGrid w:val="0"/>
          <w:sz w:val="24"/>
        </w:rPr>
        <w:t xml:space="preserve">699001303 </w:t>
      </w:r>
    </w:p>
    <w:p w14:paraId="63C8A2A6" w14:textId="1DF9FB89" w:rsidR="00A04865" w:rsidRPr="00230FF1" w:rsidRDefault="00A04865" w:rsidP="00A04865">
      <w:pPr>
        <w:rPr>
          <w:snapToGrid w:val="0"/>
          <w:sz w:val="24"/>
        </w:rPr>
      </w:pPr>
      <w:r w:rsidRPr="00230FF1">
        <w:rPr>
          <w:snapToGrid w:val="0"/>
          <w:sz w:val="24"/>
        </w:rPr>
        <w:t xml:space="preserve">bankovní spojení: </w:t>
      </w:r>
      <w:proofErr w:type="spellStart"/>
      <w:r w:rsidR="0031156C">
        <w:rPr>
          <w:snapToGrid w:val="0"/>
          <w:sz w:val="24"/>
        </w:rPr>
        <w:t>xxxx</w:t>
      </w:r>
      <w:proofErr w:type="spellEnd"/>
    </w:p>
    <w:p w14:paraId="23149F9C" w14:textId="2D84B259" w:rsidR="00A04865" w:rsidRPr="00230FF1" w:rsidRDefault="00A04865" w:rsidP="00A04865">
      <w:pPr>
        <w:rPr>
          <w:snapToGrid w:val="0"/>
          <w:sz w:val="24"/>
        </w:rPr>
      </w:pPr>
      <w:proofErr w:type="spellStart"/>
      <w:r w:rsidRPr="00230FF1">
        <w:rPr>
          <w:snapToGrid w:val="0"/>
          <w:sz w:val="24"/>
        </w:rPr>
        <w:t>č.ú</w:t>
      </w:r>
      <w:proofErr w:type="spellEnd"/>
      <w:r w:rsidRPr="00230FF1">
        <w:rPr>
          <w:snapToGrid w:val="0"/>
          <w:sz w:val="24"/>
        </w:rPr>
        <w:t xml:space="preserve">.: </w:t>
      </w:r>
      <w:r w:rsidR="0031156C">
        <w:rPr>
          <w:snapToGrid w:val="0"/>
          <w:sz w:val="24"/>
        </w:rPr>
        <w:t>xxxxxx</w:t>
      </w:r>
    </w:p>
    <w:p w14:paraId="693BED53" w14:textId="77777777" w:rsidR="002E0C66" w:rsidRDefault="00A04865" w:rsidP="00672E9F">
      <w:pPr>
        <w:rPr>
          <w:snapToGrid w:val="0"/>
          <w:sz w:val="24"/>
        </w:rPr>
      </w:pPr>
      <w:r w:rsidRPr="00230FF1">
        <w:rPr>
          <w:snapToGrid w:val="0"/>
          <w:sz w:val="24"/>
        </w:rPr>
        <w:t>(dále jako nájemce)</w:t>
      </w:r>
    </w:p>
    <w:p w14:paraId="3B0C7832" w14:textId="77777777" w:rsidR="002E0C66" w:rsidRDefault="002E0C66">
      <w:pPr>
        <w:widowControl w:val="0"/>
        <w:spacing w:line="120" w:lineRule="auto"/>
        <w:rPr>
          <w:snapToGrid w:val="0"/>
          <w:sz w:val="24"/>
        </w:rPr>
      </w:pPr>
    </w:p>
    <w:p w14:paraId="686BF758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14:paraId="10FCDB5D" w14:textId="77777777" w:rsidR="002E0C66" w:rsidRDefault="002E0C66">
      <w:pPr>
        <w:widowControl w:val="0"/>
        <w:spacing w:line="120" w:lineRule="auto"/>
        <w:rPr>
          <w:snapToGrid w:val="0"/>
          <w:sz w:val="24"/>
        </w:rPr>
      </w:pPr>
    </w:p>
    <w:p w14:paraId="4F7843F1" w14:textId="77777777" w:rsidR="00E5568A" w:rsidRPr="00E5568A" w:rsidRDefault="006477A6" w:rsidP="00E5568A">
      <w:pPr>
        <w:widowControl w:val="0"/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Jaunerak</w:t>
      </w:r>
      <w:proofErr w:type="spellEnd"/>
      <w:r>
        <w:rPr>
          <w:b/>
          <w:snapToGrid w:val="0"/>
          <w:sz w:val="24"/>
        </w:rPr>
        <w:t xml:space="preserve"> CZ,</w:t>
      </w:r>
      <w:r w:rsidR="00725D7F">
        <w:rPr>
          <w:b/>
          <w:snapToGrid w:val="0"/>
          <w:sz w:val="24"/>
        </w:rPr>
        <w:t xml:space="preserve"> </w:t>
      </w:r>
      <w:r w:rsidR="00E81405">
        <w:rPr>
          <w:b/>
          <w:snapToGrid w:val="0"/>
          <w:sz w:val="24"/>
        </w:rPr>
        <w:t>s</w:t>
      </w:r>
      <w:r>
        <w:rPr>
          <w:b/>
          <w:snapToGrid w:val="0"/>
          <w:sz w:val="24"/>
        </w:rPr>
        <w:t>.</w:t>
      </w:r>
      <w:r w:rsidR="00E81405">
        <w:rPr>
          <w:b/>
          <w:snapToGrid w:val="0"/>
          <w:sz w:val="24"/>
        </w:rPr>
        <w:t>r.o</w:t>
      </w:r>
      <w:r w:rsidR="004438FD">
        <w:rPr>
          <w:b/>
          <w:snapToGrid w:val="0"/>
          <w:sz w:val="24"/>
        </w:rPr>
        <w:t>.</w:t>
      </w:r>
    </w:p>
    <w:p w14:paraId="53D3677D" w14:textId="77777777" w:rsidR="006477A6" w:rsidRPr="006477A6" w:rsidRDefault="006477A6" w:rsidP="00E5568A">
      <w:pPr>
        <w:widowControl w:val="0"/>
        <w:rPr>
          <w:snapToGrid w:val="0"/>
          <w:sz w:val="24"/>
        </w:rPr>
      </w:pPr>
      <w:r w:rsidRPr="006477A6">
        <w:rPr>
          <w:snapToGrid w:val="0"/>
          <w:sz w:val="24"/>
        </w:rPr>
        <w:t>třída Kpt. Jaroše 1922/3, Černá Pole, 602 00 Brno</w:t>
      </w:r>
    </w:p>
    <w:p w14:paraId="703618AC" w14:textId="77777777" w:rsidR="00E5568A" w:rsidRDefault="0021446B" w:rsidP="00E5568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</w:t>
      </w:r>
      <w:r w:rsidR="006B6BD4">
        <w:rPr>
          <w:snapToGrid w:val="0"/>
          <w:sz w:val="24"/>
        </w:rPr>
        <w:t>astoupená</w:t>
      </w:r>
      <w:r>
        <w:rPr>
          <w:snapToGrid w:val="0"/>
          <w:sz w:val="24"/>
        </w:rPr>
        <w:t>:</w:t>
      </w:r>
      <w:r w:rsidR="006B6BD4">
        <w:rPr>
          <w:snapToGrid w:val="0"/>
          <w:sz w:val="24"/>
        </w:rPr>
        <w:t xml:space="preserve"> </w:t>
      </w:r>
      <w:r w:rsidR="006477A6">
        <w:rPr>
          <w:snapToGrid w:val="0"/>
          <w:sz w:val="24"/>
        </w:rPr>
        <w:tab/>
        <w:t xml:space="preserve">Zdeněk </w:t>
      </w:r>
      <w:proofErr w:type="spellStart"/>
      <w:r w:rsidR="006477A6">
        <w:rPr>
          <w:snapToGrid w:val="0"/>
          <w:sz w:val="24"/>
        </w:rPr>
        <w:t>Lausch</w:t>
      </w:r>
      <w:proofErr w:type="spellEnd"/>
      <w:r>
        <w:rPr>
          <w:snapToGrid w:val="0"/>
          <w:sz w:val="24"/>
        </w:rPr>
        <w:t>, jednatel</w:t>
      </w:r>
    </w:p>
    <w:p w14:paraId="665D7EC2" w14:textId="77777777" w:rsidR="00E5568A" w:rsidRDefault="00E5568A" w:rsidP="00E5568A">
      <w:pPr>
        <w:widowControl w:val="0"/>
        <w:rPr>
          <w:snapToGrid w:val="0"/>
          <w:sz w:val="24"/>
        </w:rPr>
      </w:pPr>
      <w:r w:rsidRPr="00EF1614">
        <w:rPr>
          <w:snapToGrid w:val="0"/>
          <w:sz w:val="24"/>
        </w:rPr>
        <w:t>IČ</w:t>
      </w:r>
      <w:r w:rsidR="0075331C">
        <w:rPr>
          <w:snapToGrid w:val="0"/>
          <w:sz w:val="24"/>
        </w:rPr>
        <w:t xml:space="preserve">: </w:t>
      </w:r>
      <w:r w:rsidR="006477A6" w:rsidRPr="006477A6">
        <w:rPr>
          <w:snapToGrid w:val="0"/>
          <w:sz w:val="24"/>
        </w:rPr>
        <w:t>07585306</w:t>
      </w:r>
    </w:p>
    <w:p w14:paraId="2BD4D77B" w14:textId="77777777" w:rsidR="00E81405" w:rsidRDefault="0075331C" w:rsidP="00E5568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DIČ:CZ</w:t>
      </w:r>
      <w:r w:rsidR="006477A6" w:rsidRPr="006477A6">
        <w:rPr>
          <w:snapToGrid w:val="0"/>
          <w:sz w:val="24"/>
        </w:rPr>
        <w:t>07585306</w:t>
      </w:r>
    </w:p>
    <w:p w14:paraId="1F5B5EF4" w14:textId="77777777" w:rsidR="00AD0FD0" w:rsidRPr="00230FF1" w:rsidRDefault="00AD0FD0" w:rsidP="00AD0FD0">
      <w:pPr>
        <w:rPr>
          <w:snapToGrid w:val="0"/>
          <w:sz w:val="24"/>
        </w:rPr>
      </w:pPr>
      <w:r w:rsidRPr="00230FF1">
        <w:rPr>
          <w:snapToGrid w:val="0"/>
          <w:sz w:val="24"/>
        </w:rPr>
        <w:t xml:space="preserve">(dále jako </w:t>
      </w:r>
      <w:r>
        <w:rPr>
          <w:snapToGrid w:val="0"/>
          <w:sz w:val="24"/>
        </w:rPr>
        <w:t>pod</w:t>
      </w:r>
      <w:r w:rsidRPr="00230FF1">
        <w:rPr>
          <w:snapToGrid w:val="0"/>
          <w:sz w:val="24"/>
        </w:rPr>
        <w:t>nájemce)</w:t>
      </w:r>
    </w:p>
    <w:p w14:paraId="0F56853E" w14:textId="77777777" w:rsidR="002E0C66" w:rsidRDefault="002E0C66">
      <w:pPr>
        <w:widowControl w:val="0"/>
        <w:rPr>
          <w:snapToGrid w:val="0"/>
          <w:sz w:val="24"/>
        </w:rPr>
      </w:pPr>
    </w:p>
    <w:p w14:paraId="054263C2" w14:textId="77777777" w:rsidR="000A6090" w:rsidRDefault="000A6090">
      <w:pPr>
        <w:widowControl w:val="0"/>
        <w:rPr>
          <w:snapToGrid w:val="0"/>
          <w:sz w:val="24"/>
        </w:rPr>
      </w:pPr>
    </w:p>
    <w:p w14:paraId="5EF9C0D9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</w:p>
    <w:p w14:paraId="2E682797" w14:textId="77777777" w:rsidR="002E0C66" w:rsidRDefault="002E0C66">
      <w:pPr>
        <w:pStyle w:val="Nadpis4"/>
      </w:pPr>
      <w:r>
        <w:t xml:space="preserve">Předmět a účel </w:t>
      </w:r>
      <w:r w:rsidR="00086173">
        <w:t>pod</w:t>
      </w:r>
      <w:r>
        <w:t>nájmu</w:t>
      </w:r>
    </w:p>
    <w:p w14:paraId="6CC38EC4" w14:textId="77777777" w:rsidR="002E0C66" w:rsidRDefault="002E0C66">
      <w:pPr>
        <w:widowControl w:val="0"/>
        <w:rPr>
          <w:snapToGrid w:val="0"/>
          <w:sz w:val="24"/>
        </w:rPr>
      </w:pPr>
    </w:p>
    <w:p w14:paraId="2548D6E9" w14:textId="40253646" w:rsidR="00AD0FD0" w:rsidRPr="00EE6C6D" w:rsidRDefault="00AD0FD0" w:rsidP="0017625F">
      <w:pPr>
        <w:spacing w:befor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Nájemce prohlašuje, že je na základě nájemní smlouvy ze dne 30.10.2017 nájemcem </w:t>
      </w:r>
      <w:r w:rsidRPr="00EE6C6D">
        <w:rPr>
          <w:snapToGrid w:val="0"/>
          <w:sz w:val="24"/>
          <w:szCs w:val="24"/>
        </w:rPr>
        <w:t>nemovitost</w:t>
      </w:r>
      <w:r w:rsidR="00086173" w:rsidRPr="00EE6C6D">
        <w:rPr>
          <w:snapToGrid w:val="0"/>
          <w:sz w:val="24"/>
          <w:szCs w:val="24"/>
        </w:rPr>
        <w:t>i</w:t>
      </w:r>
      <w:r w:rsidRPr="00EE6C6D">
        <w:rPr>
          <w:snapToGrid w:val="0"/>
          <w:sz w:val="24"/>
          <w:szCs w:val="24"/>
        </w:rPr>
        <w:t xml:space="preserve">, a to pozemku </w:t>
      </w:r>
      <w:proofErr w:type="spellStart"/>
      <w:r w:rsidR="00F427D4" w:rsidRPr="00EE6C6D">
        <w:rPr>
          <w:snapToGrid w:val="0"/>
          <w:sz w:val="24"/>
          <w:szCs w:val="24"/>
        </w:rPr>
        <w:t>p.č</w:t>
      </w:r>
      <w:proofErr w:type="spellEnd"/>
      <w:r w:rsidR="00F427D4" w:rsidRPr="00EE6C6D">
        <w:rPr>
          <w:snapToGrid w:val="0"/>
          <w:sz w:val="24"/>
          <w:szCs w:val="24"/>
        </w:rPr>
        <w:t>. 587/7</w:t>
      </w:r>
      <w:r w:rsidRPr="00EE6C6D">
        <w:rPr>
          <w:snapToGrid w:val="0"/>
          <w:sz w:val="24"/>
          <w:szCs w:val="24"/>
        </w:rPr>
        <w:t xml:space="preserve"> v areálu letního koupaliště Hodonín.</w:t>
      </w:r>
    </w:p>
    <w:p w14:paraId="76697D16" w14:textId="77777777" w:rsidR="00AD0FD0" w:rsidRPr="00EE6C6D" w:rsidRDefault="00AD0FD0" w:rsidP="0017625F">
      <w:pPr>
        <w:ind w:left="540" w:hanging="540"/>
        <w:jc w:val="both"/>
        <w:rPr>
          <w:snapToGrid w:val="0"/>
          <w:sz w:val="24"/>
          <w:szCs w:val="24"/>
        </w:rPr>
      </w:pPr>
    </w:p>
    <w:p w14:paraId="47F0AA08" w14:textId="15060E91" w:rsidR="00AD0FD0" w:rsidRPr="00AB1209" w:rsidRDefault="00F427D4" w:rsidP="0017625F">
      <w:pPr>
        <w:jc w:val="both"/>
        <w:rPr>
          <w:vertAlign w:val="superscript"/>
        </w:rPr>
      </w:pPr>
      <w:r w:rsidRPr="00EE6C6D">
        <w:rPr>
          <w:sz w:val="24"/>
          <w:szCs w:val="24"/>
        </w:rPr>
        <w:t>Nájemce dává tímto do podnájmu v areálu letního koupaliště Hodonín část vý</w:t>
      </w:r>
      <w:r w:rsidR="007D0514">
        <w:rPr>
          <w:sz w:val="24"/>
          <w:szCs w:val="24"/>
        </w:rPr>
        <w:t>še u</w:t>
      </w:r>
      <w:r w:rsidR="0013025C">
        <w:rPr>
          <w:sz w:val="24"/>
          <w:szCs w:val="24"/>
        </w:rPr>
        <w:t>vedeného pozemku</w:t>
      </w:r>
      <w:r w:rsidRPr="00EE6C6D">
        <w:rPr>
          <w:sz w:val="24"/>
          <w:szCs w:val="24"/>
        </w:rPr>
        <w:t xml:space="preserve"> o celkové výměře </w:t>
      </w:r>
      <w:r w:rsidR="000809D6">
        <w:rPr>
          <w:sz w:val="24"/>
          <w:szCs w:val="24"/>
        </w:rPr>
        <w:t>28</w:t>
      </w:r>
      <w:r w:rsidRPr="00EE6C6D">
        <w:rPr>
          <w:sz w:val="24"/>
          <w:szCs w:val="24"/>
        </w:rPr>
        <w:t xml:space="preserve"> m</w:t>
      </w:r>
      <w:r w:rsidRPr="00EE6C6D">
        <w:rPr>
          <w:sz w:val="24"/>
          <w:szCs w:val="24"/>
          <w:vertAlign w:val="superscript"/>
        </w:rPr>
        <w:t>2</w:t>
      </w:r>
      <w:r w:rsidRPr="00EE6C6D">
        <w:rPr>
          <w:sz w:val="24"/>
          <w:szCs w:val="24"/>
        </w:rPr>
        <w:t xml:space="preserve"> pro umístění </w:t>
      </w:r>
      <w:r w:rsidR="007D0514">
        <w:rPr>
          <w:sz w:val="24"/>
          <w:szCs w:val="24"/>
        </w:rPr>
        <w:t>mobilního občerstvení</w:t>
      </w:r>
      <w:r w:rsidRPr="00EE6C6D">
        <w:rPr>
          <w:sz w:val="24"/>
          <w:szCs w:val="24"/>
        </w:rPr>
        <w:t xml:space="preserve">. </w:t>
      </w:r>
    </w:p>
    <w:p w14:paraId="76B7C441" w14:textId="77777777" w:rsidR="00AD0FD0" w:rsidRDefault="00AD0FD0" w:rsidP="0017625F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Podnájemce bude </w:t>
      </w:r>
      <w:r w:rsidR="001747EC">
        <w:rPr>
          <w:snapToGrid w:val="0"/>
          <w:sz w:val="24"/>
        </w:rPr>
        <w:t>předmět nájmu</w:t>
      </w:r>
      <w:r>
        <w:rPr>
          <w:snapToGrid w:val="0"/>
          <w:sz w:val="24"/>
        </w:rPr>
        <w:t xml:space="preserve"> užívat </w:t>
      </w:r>
      <w:r w:rsidR="00433319">
        <w:rPr>
          <w:snapToGrid w:val="0"/>
          <w:sz w:val="24"/>
          <w:szCs w:val="24"/>
        </w:rPr>
        <w:t xml:space="preserve">jen v otevírací době LK </w:t>
      </w:r>
      <w:r>
        <w:rPr>
          <w:snapToGrid w:val="0"/>
          <w:sz w:val="24"/>
        </w:rPr>
        <w:t>za účelem:</w:t>
      </w:r>
    </w:p>
    <w:p w14:paraId="02F0D92B" w14:textId="77777777" w:rsidR="007F200D" w:rsidRDefault="00EE6C6D" w:rsidP="0017625F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- </w:t>
      </w:r>
      <w:r w:rsidR="007D0514">
        <w:rPr>
          <w:snapToGrid w:val="0"/>
          <w:sz w:val="24"/>
        </w:rPr>
        <w:t>provozování hostinské činnosti</w:t>
      </w:r>
    </w:p>
    <w:p w14:paraId="6CC7FB4B" w14:textId="77777777" w:rsidR="00EE6C6D" w:rsidRDefault="00EE6C6D" w:rsidP="0017625F">
      <w:pPr>
        <w:spacing w:before="120"/>
        <w:jc w:val="both"/>
        <w:rPr>
          <w:b/>
          <w:snapToGrid w:val="0"/>
          <w:sz w:val="24"/>
        </w:rPr>
      </w:pPr>
    </w:p>
    <w:p w14:paraId="4F0060B0" w14:textId="77777777" w:rsidR="00AD0FD0" w:rsidRPr="00EE6C6D" w:rsidRDefault="00AD0FD0" w:rsidP="0017625F">
      <w:p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Podnájemce se zavazuje na místě podnájm</w:t>
      </w:r>
      <w:r w:rsidR="00F427D4" w:rsidRPr="00EE6C6D">
        <w:rPr>
          <w:sz w:val="24"/>
          <w:szCs w:val="24"/>
        </w:rPr>
        <w:t>u prodávat pouze sortiment v souladu s účelem užívání uvedeným v této smlouvě.</w:t>
      </w:r>
    </w:p>
    <w:p w14:paraId="5C8A14D4" w14:textId="77777777" w:rsidR="004A0CCB" w:rsidRDefault="004A0CCB" w:rsidP="00984970">
      <w:pPr>
        <w:widowControl w:val="0"/>
        <w:rPr>
          <w:b/>
          <w:snapToGrid w:val="0"/>
          <w:sz w:val="24"/>
        </w:rPr>
      </w:pPr>
    </w:p>
    <w:p w14:paraId="384E0180" w14:textId="77777777" w:rsidR="000A6090" w:rsidRDefault="000A6090" w:rsidP="00984970">
      <w:pPr>
        <w:widowControl w:val="0"/>
        <w:rPr>
          <w:b/>
          <w:snapToGrid w:val="0"/>
          <w:sz w:val="24"/>
        </w:rPr>
      </w:pPr>
    </w:p>
    <w:p w14:paraId="239C6857" w14:textId="77777777" w:rsidR="002E0C66" w:rsidRPr="007F200D" w:rsidRDefault="002E0C66" w:rsidP="007F200D">
      <w:pPr>
        <w:widowControl w:val="0"/>
        <w:ind w:left="36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14:paraId="425B871B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Výše nájemného, úhrada za služby</w:t>
      </w:r>
    </w:p>
    <w:p w14:paraId="4C5AE4CF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 způsob placení</w:t>
      </w:r>
    </w:p>
    <w:p w14:paraId="5608B669" w14:textId="77777777" w:rsidR="002E0C66" w:rsidRDefault="002E0C66">
      <w:pPr>
        <w:widowControl w:val="0"/>
        <w:rPr>
          <w:snapToGrid w:val="0"/>
          <w:sz w:val="24"/>
        </w:rPr>
      </w:pPr>
    </w:p>
    <w:p w14:paraId="274AB27D" w14:textId="77777777" w:rsidR="00D32297" w:rsidRDefault="00D32297" w:rsidP="000A6090">
      <w:pPr>
        <w:ind w:left="720"/>
        <w:jc w:val="both"/>
        <w:rPr>
          <w:sz w:val="24"/>
          <w:szCs w:val="24"/>
        </w:rPr>
      </w:pPr>
    </w:p>
    <w:p w14:paraId="77AE1ECD" w14:textId="67A5BC08" w:rsidR="000A6090" w:rsidRDefault="000A6090" w:rsidP="000A6090">
      <w:pPr>
        <w:numPr>
          <w:ilvl w:val="0"/>
          <w:numId w:val="4"/>
        </w:numPr>
        <w:jc w:val="both"/>
        <w:rPr>
          <w:sz w:val="24"/>
        </w:rPr>
      </w:pPr>
      <w:r w:rsidRPr="00EE6C6D">
        <w:rPr>
          <w:sz w:val="24"/>
          <w:szCs w:val="24"/>
        </w:rPr>
        <w:t>Výše nájemnéh</w:t>
      </w:r>
      <w:r w:rsidR="00BB239B">
        <w:rPr>
          <w:sz w:val="24"/>
          <w:szCs w:val="24"/>
        </w:rPr>
        <w:t xml:space="preserve">o je stanovena dohodou a činí </w:t>
      </w:r>
      <w:r w:rsidR="005F138E">
        <w:rPr>
          <w:sz w:val="24"/>
          <w:szCs w:val="24"/>
        </w:rPr>
        <w:t>1</w:t>
      </w:r>
      <w:r w:rsidR="00B04B27">
        <w:rPr>
          <w:sz w:val="24"/>
          <w:szCs w:val="24"/>
        </w:rPr>
        <w:t>12</w:t>
      </w:r>
      <w:r w:rsidRPr="00EE6C6D">
        <w:rPr>
          <w:sz w:val="24"/>
          <w:szCs w:val="24"/>
        </w:rPr>
        <w:t>.000 Kč</w:t>
      </w:r>
      <w:r>
        <w:rPr>
          <w:sz w:val="24"/>
          <w:szCs w:val="24"/>
        </w:rPr>
        <w:t xml:space="preserve"> včetně DPH </w:t>
      </w:r>
      <w:r>
        <w:rPr>
          <w:sz w:val="24"/>
        </w:rPr>
        <w:t>za dobu provozu letního koupaliště od 1.6. do 31.8.</w:t>
      </w:r>
      <w:r w:rsidRPr="00EE6C6D">
        <w:rPr>
          <w:sz w:val="24"/>
          <w:szCs w:val="24"/>
        </w:rPr>
        <w:t xml:space="preserve">, </w:t>
      </w:r>
      <w:r w:rsidR="00BB239B">
        <w:rPr>
          <w:sz w:val="24"/>
          <w:szCs w:val="24"/>
        </w:rPr>
        <w:t xml:space="preserve">slovy </w:t>
      </w:r>
      <w:r w:rsidR="007A2CFB">
        <w:rPr>
          <w:sz w:val="24"/>
          <w:szCs w:val="24"/>
        </w:rPr>
        <w:t xml:space="preserve">sto </w:t>
      </w:r>
      <w:r w:rsidR="00B04B27">
        <w:rPr>
          <w:sz w:val="24"/>
          <w:szCs w:val="24"/>
        </w:rPr>
        <w:t>dvanáct</w:t>
      </w:r>
      <w:r w:rsidRPr="00EE6C6D">
        <w:rPr>
          <w:sz w:val="24"/>
          <w:szCs w:val="24"/>
        </w:rPr>
        <w:t xml:space="preserve"> tisíc korun českých</w:t>
      </w:r>
      <w:r>
        <w:rPr>
          <w:sz w:val="24"/>
          <w:szCs w:val="24"/>
        </w:rPr>
        <w:t xml:space="preserve"> včetně DPH</w:t>
      </w:r>
      <w:r w:rsidRPr="00EE6C6D">
        <w:rPr>
          <w:sz w:val="24"/>
          <w:szCs w:val="24"/>
        </w:rPr>
        <w:t xml:space="preserve">. </w:t>
      </w:r>
      <w:r>
        <w:rPr>
          <w:sz w:val="24"/>
        </w:rPr>
        <w:t>V případě zkrácení počtu provozních dnů se nájemné poměrně sníží.</w:t>
      </w:r>
    </w:p>
    <w:p w14:paraId="6DE0A3EB" w14:textId="77777777" w:rsidR="000A6090" w:rsidRPr="000A6090" w:rsidRDefault="000A6090" w:rsidP="000A6090">
      <w:pPr>
        <w:ind w:left="720"/>
        <w:jc w:val="both"/>
        <w:rPr>
          <w:sz w:val="24"/>
        </w:rPr>
      </w:pPr>
    </w:p>
    <w:p w14:paraId="5DFD5B8A" w14:textId="77D1A148" w:rsidR="00D32297" w:rsidRDefault="00D32297" w:rsidP="00672E9F">
      <w:pPr>
        <w:numPr>
          <w:ilvl w:val="0"/>
          <w:numId w:val="4"/>
        </w:numPr>
        <w:jc w:val="both"/>
        <w:rPr>
          <w:sz w:val="24"/>
          <w:szCs w:val="24"/>
        </w:rPr>
      </w:pPr>
      <w:r w:rsidRPr="00C1277B">
        <w:rPr>
          <w:sz w:val="24"/>
          <w:szCs w:val="24"/>
        </w:rPr>
        <w:t xml:space="preserve">Nájemné bude podnájemci fakturováno jednorázově fakturou, </w:t>
      </w:r>
      <w:r w:rsidR="00C1277B" w:rsidRPr="00C1277B">
        <w:rPr>
          <w:sz w:val="24"/>
          <w:szCs w:val="24"/>
        </w:rPr>
        <w:t>s datem zdanitelného plnění 1. červe</w:t>
      </w:r>
      <w:r w:rsidR="004D0A8A">
        <w:rPr>
          <w:sz w:val="24"/>
          <w:szCs w:val="24"/>
        </w:rPr>
        <w:t>nce 202</w:t>
      </w:r>
      <w:r w:rsidR="00D976BD">
        <w:rPr>
          <w:sz w:val="24"/>
          <w:szCs w:val="24"/>
        </w:rPr>
        <w:t>5</w:t>
      </w:r>
      <w:r w:rsidR="00C1277B" w:rsidRPr="00C1277B">
        <w:rPr>
          <w:sz w:val="24"/>
          <w:szCs w:val="24"/>
        </w:rPr>
        <w:t xml:space="preserve">. </w:t>
      </w:r>
      <w:r w:rsidRPr="00C1277B">
        <w:rPr>
          <w:sz w:val="24"/>
          <w:szCs w:val="24"/>
        </w:rPr>
        <w:t>Splatnost faktury je 14 dnů.</w:t>
      </w:r>
    </w:p>
    <w:p w14:paraId="6E11F6D8" w14:textId="77777777" w:rsidR="00D976BD" w:rsidRDefault="00D976BD" w:rsidP="00D976BD">
      <w:pPr>
        <w:pStyle w:val="Odstavecseseznamem"/>
        <w:rPr>
          <w:sz w:val="24"/>
          <w:szCs w:val="24"/>
        </w:rPr>
      </w:pPr>
    </w:p>
    <w:p w14:paraId="4A77B971" w14:textId="77777777" w:rsidR="00D976BD" w:rsidRDefault="00D976BD" w:rsidP="00D976BD">
      <w:pPr>
        <w:jc w:val="both"/>
        <w:rPr>
          <w:sz w:val="24"/>
          <w:szCs w:val="24"/>
        </w:rPr>
      </w:pPr>
    </w:p>
    <w:p w14:paraId="7CE8F3DA" w14:textId="77777777" w:rsidR="00D976BD" w:rsidRPr="00C1277B" w:rsidRDefault="00D976BD" w:rsidP="00D976BD">
      <w:pPr>
        <w:jc w:val="both"/>
        <w:rPr>
          <w:sz w:val="24"/>
          <w:szCs w:val="24"/>
        </w:rPr>
      </w:pPr>
    </w:p>
    <w:p w14:paraId="5BADAFFF" w14:textId="77777777" w:rsidR="000A6090" w:rsidRDefault="000A6090" w:rsidP="000A6090">
      <w:pPr>
        <w:jc w:val="both"/>
        <w:rPr>
          <w:sz w:val="24"/>
          <w:szCs w:val="24"/>
        </w:rPr>
      </w:pPr>
    </w:p>
    <w:p w14:paraId="3145B4EF" w14:textId="77777777" w:rsidR="000A6090" w:rsidRDefault="000A6090" w:rsidP="000A6090">
      <w:pPr>
        <w:jc w:val="both"/>
        <w:rPr>
          <w:sz w:val="24"/>
          <w:szCs w:val="24"/>
        </w:rPr>
      </w:pPr>
    </w:p>
    <w:p w14:paraId="5A3B12DC" w14:textId="77777777" w:rsidR="000A6090" w:rsidRDefault="000A6090" w:rsidP="000A6090">
      <w:pPr>
        <w:jc w:val="both"/>
        <w:rPr>
          <w:sz w:val="24"/>
          <w:szCs w:val="24"/>
        </w:rPr>
      </w:pPr>
    </w:p>
    <w:p w14:paraId="274F5A30" w14:textId="77777777" w:rsidR="000A6090" w:rsidRPr="00EE6C6D" w:rsidRDefault="000A6090" w:rsidP="000A6090">
      <w:pPr>
        <w:jc w:val="both"/>
        <w:rPr>
          <w:sz w:val="24"/>
          <w:szCs w:val="24"/>
        </w:rPr>
      </w:pPr>
    </w:p>
    <w:p w14:paraId="2A43BC3B" w14:textId="5CAF8E40" w:rsidR="00D77808" w:rsidRPr="000A6090" w:rsidRDefault="00D32297" w:rsidP="00D77808">
      <w:pPr>
        <w:numPr>
          <w:ilvl w:val="0"/>
          <w:numId w:val="4"/>
        </w:numPr>
        <w:jc w:val="both"/>
        <w:rPr>
          <w:sz w:val="24"/>
          <w:szCs w:val="24"/>
        </w:rPr>
      </w:pPr>
      <w:r w:rsidRPr="00E73F20">
        <w:rPr>
          <w:sz w:val="24"/>
          <w:szCs w:val="24"/>
        </w:rPr>
        <w:t xml:space="preserve">Další náklad související s podnájmem nebytových </w:t>
      </w:r>
      <w:proofErr w:type="gramStart"/>
      <w:r w:rsidRPr="00E73F20">
        <w:rPr>
          <w:sz w:val="24"/>
          <w:szCs w:val="24"/>
        </w:rPr>
        <w:t>prostor - elektřina</w:t>
      </w:r>
      <w:proofErr w:type="gramEnd"/>
      <w:r w:rsidRPr="00E73F20">
        <w:rPr>
          <w:sz w:val="24"/>
          <w:szCs w:val="24"/>
        </w:rPr>
        <w:t>, bude podnájemc</w:t>
      </w:r>
      <w:r w:rsidR="00BF3D02">
        <w:rPr>
          <w:sz w:val="24"/>
          <w:szCs w:val="24"/>
        </w:rPr>
        <w:t xml:space="preserve">e hradit formou zálohy ve výši </w:t>
      </w:r>
      <w:proofErr w:type="gramStart"/>
      <w:r w:rsidR="00BF3D02">
        <w:rPr>
          <w:sz w:val="24"/>
          <w:szCs w:val="24"/>
        </w:rPr>
        <w:t>3</w:t>
      </w:r>
      <w:r w:rsidR="00B95DFB">
        <w:rPr>
          <w:sz w:val="24"/>
          <w:szCs w:val="24"/>
        </w:rPr>
        <w:t>0</w:t>
      </w:r>
      <w:r w:rsidR="007D0514">
        <w:rPr>
          <w:sz w:val="24"/>
          <w:szCs w:val="24"/>
        </w:rPr>
        <w:t>.</w:t>
      </w:r>
      <w:r w:rsidRPr="00E73F20">
        <w:rPr>
          <w:sz w:val="24"/>
          <w:szCs w:val="24"/>
        </w:rPr>
        <w:t>000,-</w:t>
      </w:r>
      <w:proofErr w:type="gramEnd"/>
      <w:r w:rsidRPr="00E73F20">
        <w:rPr>
          <w:sz w:val="24"/>
          <w:szCs w:val="24"/>
        </w:rPr>
        <w:t xml:space="preserve"> Kč/ za dobu pronájmu. </w:t>
      </w:r>
      <w:r w:rsidR="00C1277B">
        <w:rPr>
          <w:sz w:val="24"/>
          <w:szCs w:val="24"/>
        </w:rPr>
        <w:t xml:space="preserve">Záloha je splatná jednorázově na základě zálohové faktury vystavené nájemcem </w:t>
      </w:r>
      <w:r w:rsidR="004D0A8A">
        <w:rPr>
          <w:sz w:val="24"/>
          <w:szCs w:val="24"/>
        </w:rPr>
        <w:t>dne 1. července 202</w:t>
      </w:r>
      <w:r w:rsidR="00B609A2">
        <w:rPr>
          <w:sz w:val="24"/>
          <w:szCs w:val="24"/>
        </w:rPr>
        <w:t>5</w:t>
      </w:r>
      <w:r w:rsidRPr="00C1277B">
        <w:rPr>
          <w:sz w:val="24"/>
          <w:szCs w:val="24"/>
        </w:rPr>
        <w:t>, splatnost zálohové faktury je 14 dnů. Konečné vyúčtování provede nájemce na základě</w:t>
      </w:r>
      <w:r w:rsidRPr="00E73F20">
        <w:rPr>
          <w:sz w:val="24"/>
          <w:szCs w:val="24"/>
        </w:rPr>
        <w:t xml:space="preserve"> skutečně odebrané elektrické energie naměřené na samostatném měřidle instalovaného u </w:t>
      </w:r>
      <w:r w:rsidRPr="00D77808">
        <w:rPr>
          <w:sz w:val="24"/>
          <w:szCs w:val="24"/>
        </w:rPr>
        <w:t xml:space="preserve">podnájemce. Aktuální stav měřidla bude uveden v zápise o předání a převzetí předmětu podnájmu. </w:t>
      </w:r>
    </w:p>
    <w:p w14:paraId="0398E048" w14:textId="77777777" w:rsidR="00D77808" w:rsidRPr="00D77808" w:rsidRDefault="00D77808" w:rsidP="00D77808">
      <w:pPr>
        <w:jc w:val="both"/>
        <w:rPr>
          <w:sz w:val="24"/>
          <w:szCs w:val="24"/>
        </w:rPr>
      </w:pPr>
    </w:p>
    <w:p w14:paraId="1AE0CA27" w14:textId="77777777" w:rsidR="00D32297" w:rsidRPr="00EE6C6D" w:rsidRDefault="00D32297" w:rsidP="00672E9F">
      <w:pPr>
        <w:numPr>
          <w:ilvl w:val="0"/>
          <w:numId w:val="4"/>
        </w:num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V případě pozdní úhrady daňového dokladu sjednávají účastníci smlouvy smluvní úroky z prodlení ve výši 0,05 % denně z dlužné částky až do zaplacení.</w:t>
      </w:r>
    </w:p>
    <w:p w14:paraId="7A5D9F7E" w14:textId="77777777" w:rsidR="000A6090" w:rsidRDefault="000A6090">
      <w:pPr>
        <w:widowControl w:val="0"/>
        <w:rPr>
          <w:b/>
          <w:snapToGrid w:val="0"/>
          <w:sz w:val="24"/>
        </w:rPr>
      </w:pPr>
    </w:p>
    <w:p w14:paraId="74BCAB0B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</w:p>
    <w:p w14:paraId="04FAB205" w14:textId="77777777" w:rsidR="002E0C66" w:rsidRDefault="002E0C66">
      <w:pPr>
        <w:pStyle w:val="Nadpis4"/>
      </w:pPr>
      <w:r>
        <w:t xml:space="preserve">Doba trvání </w:t>
      </w:r>
      <w:r w:rsidR="00086173">
        <w:t>pod</w:t>
      </w:r>
      <w:r>
        <w:t>nájmu</w:t>
      </w:r>
    </w:p>
    <w:p w14:paraId="208C2862" w14:textId="77777777" w:rsidR="002E0C66" w:rsidRPr="00EE6C6D" w:rsidRDefault="002E0C66">
      <w:pPr>
        <w:widowControl w:val="0"/>
        <w:jc w:val="center"/>
        <w:rPr>
          <w:b/>
          <w:snapToGrid w:val="0"/>
          <w:sz w:val="24"/>
          <w:szCs w:val="24"/>
        </w:rPr>
      </w:pPr>
    </w:p>
    <w:p w14:paraId="3BF604C7" w14:textId="7E7B1E1F" w:rsidR="002E0C66" w:rsidRPr="00EE6C6D" w:rsidRDefault="00D32297">
      <w:pPr>
        <w:widowControl w:val="0"/>
        <w:rPr>
          <w:snapToGrid w:val="0"/>
          <w:sz w:val="24"/>
          <w:szCs w:val="24"/>
        </w:rPr>
      </w:pPr>
      <w:r w:rsidRPr="00EE6C6D">
        <w:rPr>
          <w:sz w:val="24"/>
          <w:szCs w:val="24"/>
        </w:rPr>
        <w:t xml:space="preserve">Doba podnájmu se uzavírá na dobu určitou s účinností od </w:t>
      </w:r>
      <w:r w:rsidR="00B95DFB">
        <w:rPr>
          <w:sz w:val="24"/>
          <w:szCs w:val="24"/>
        </w:rPr>
        <w:t>zahájení se</w:t>
      </w:r>
      <w:r w:rsidR="004D0A8A">
        <w:rPr>
          <w:sz w:val="24"/>
          <w:szCs w:val="24"/>
        </w:rPr>
        <w:t>zóny 202</w:t>
      </w:r>
      <w:r w:rsidR="004F609D">
        <w:rPr>
          <w:sz w:val="24"/>
          <w:szCs w:val="24"/>
        </w:rPr>
        <w:t>5</w:t>
      </w:r>
      <w:r w:rsidR="006477A6">
        <w:rPr>
          <w:sz w:val="24"/>
          <w:szCs w:val="24"/>
        </w:rPr>
        <w:t xml:space="preserve">, nejpozději však od </w:t>
      </w:r>
      <w:r w:rsidR="00CB459D">
        <w:rPr>
          <w:sz w:val="24"/>
          <w:szCs w:val="24"/>
        </w:rPr>
        <w:t>1</w:t>
      </w:r>
      <w:r w:rsidR="004D0A8A">
        <w:rPr>
          <w:sz w:val="24"/>
          <w:szCs w:val="24"/>
        </w:rPr>
        <w:t>.6.202</w:t>
      </w:r>
      <w:r w:rsidR="004F609D">
        <w:rPr>
          <w:sz w:val="24"/>
          <w:szCs w:val="24"/>
        </w:rPr>
        <w:t>5</w:t>
      </w:r>
      <w:r w:rsidR="004D0A8A">
        <w:rPr>
          <w:sz w:val="24"/>
          <w:szCs w:val="24"/>
        </w:rPr>
        <w:t xml:space="preserve"> do 31.8.202</w:t>
      </w:r>
      <w:r w:rsidR="004F609D">
        <w:rPr>
          <w:sz w:val="24"/>
          <w:szCs w:val="24"/>
        </w:rPr>
        <w:t>5</w:t>
      </w:r>
      <w:r w:rsidRPr="00EE6C6D">
        <w:rPr>
          <w:sz w:val="24"/>
          <w:szCs w:val="24"/>
        </w:rPr>
        <w:t>.</w:t>
      </w:r>
    </w:p>
    <w:p w14:paraId="00BBC414" w14:textId="77777777" w:rsidR="000A6090" w:rsidRPr="00EE6C6D" w:rsidRDefault="000A6090" w:rsidP="006A7114">
      <w:pPr>
        <w:tabs>
          <w:tab w:val="left" w:pos="426"/>
        </w:tabs>
        <w:rPr>
          <w:sz w:val="24"/>
          <w:szCs w:val="24"/>
        </w:rPr>
      </w:pPr>
    </w:p>
    <w:p w14:paraId="3E5DE88A" w14:textId="77777777" w:rsidR="00D32297" w:rsidRPr="00556022" w:rsidRDefault="00D32297" w:rsidP="00D322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56022">
        <w:rPr>
          <w:rFonts w:ascii="Arial" w:hAnsi="Arial" w:cs="Arial"/>
          <w:b/>
          <w:bCs/>
          <w:sz w:val="22"/>
          <w:szCs w:val="22"/>
        </w:rPr>
        <w:t>V.</w:t>
      </w:r>
    </w:p>
    <w:p w14:paraId="33AED598" w14:textId="77777777" w:rsidR="00D32297" w:rsidRPr="00F1255C" w:rsidRDefault="00D32297" w:rsidP="00D32297">
      <w:pPr>
        <w:jc w:val="center"/>
        <w:rPr>
          <w:rFonts w:ascii="Arial" w:hAnsi="Arial" w:cs="Arial"/>
          <w:sz w:val="22"/>
          <w:szCs w:val="22"/>
        </w:rPr>
      </w:pPr>
      <w:r w:rsidRPr="00F1255C">
        <w:rPr>
          <w:rFonts w:ascii="Arial" w:hAnsi="Arial" w:cs="Arial"/>
          <w:b/>
          <w:bCs/>
          <w:sz w:val="22"/>
          <w:szCs w:val="22"/>
        </w:rPr>
        <w:t>Zánik podnájmu</w:t>
      </w:r>
    </w:p>
    <w:p w14:paraId="5544F6E4" w14:textId="77777777" w:rsidR="00D32297" w:rsidRPr="00EE6C6D" w:rsidRDefault="00D32297" w:rsidP="00D32297">
      <w:pPr>
        <w:tabs>
          <w:tab w:val="left" w:pos="426"/>
        </w:tabs>
        <w:ind w:left="567" w:hanging="567"/>
        <w:rPr>
          <w:sz w:val="24"/>
          <w:szCs w:val="24"/>
        </w:rPr>
      </w:pPr>
    </w:p>
    <w:p w14:paraId="51C07E64" w14:textId="77777777" w:rsidR="00D32297" w:rsidRPr="00EE6C6D" w:rsidRDefault="000A6090" w:rsidP="00D32297">
      <w:pPr>
        <w:tabs>
          <w:tab w:val="left" w:pos="426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Podnájem zaniká</w:t>
      </w:r>
      <w:r w:rsidR="00D32297" w:rsidRPr="00EE6C6D">
        <w:rPr>
          <w:sz w:val="24"/>
          <w:szCs w:val="24"/>
        </w:rPr>
        <w:t>:</w:t>
      </w:r>
    </w:p>
    <w:p w14:paraId="60BD9BF1" w14:textId="77777777" w:rsidR="00D32297" w:rsidRPr="00EE6C6D" w:rsidRDefault="00D32297" w:rsidP="00D32297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 w:rsidRPr="00EE6C6D">
        <w:rPr>
          <w:sz w:val="24"/>
          <w:szCs w:val="24"/>
        </w:rPr>
        <w:t>písemnou dohodou obou smluvních stran</w:t>
      </w:r>
    </w:p>
    <w:p w14:paraId="65144FAE" w14:textId="77777777" w:rsidR="00D32297" w:rsidRPr="00EE6C6D" w:rsidRDefault="00D32297" w:rsidP="00D32297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 w:rsidRPr="00EE6C6D">
        <w:rPr>
          <w:sz w:val="24"/>
          <w:szCs w:val="24"/>
        </w:rPr>
        <w:t>písemnou výpovědí nájemce bez udání důvodu</w:t>
      </w:r>
    </w:p>
    <w:p w14:paraId="5741ABF6" w14:textId="77777777" w:rsidR="00D32297" w:rsidRPr="00EE6C6D" w:rsidRDefault="00D32297" w:rsidP="00D32297">
      <w:pPr>
        <w:tabs>
          <w:tab w:val="left" w:pos="567"/>
        </w:tabs>
        <w:ind w:left="426" w:hanging="426"/>
        <w:rPr>
          <w:sz w:val="24"/>
          <w:szCs w:val="24"/>
        </w:rPr>
      </w:pPr>
      <w:r w:rsidRPr="00EE6C6D">
        <w:rPr>
          <w:sz w:val="24"/>
          <w:szCs w:val="24"/>
        </w:rPr>
        <w:t>Výpovědní lhůta je týdenní a počítá se od 1. dne po doručení písemné výpovědi.</w:t>
      </w:r>
    </w:p>
    <w:p w14:paraId="0D6EEFD6" w14:textId="77777777" w:rsidR="00D32297" w:rsidRPr="00EE6C6D" w:rsidRDefault="00D32297" w:rsidP="00086173">
      <w:pPr>
        <w:rPr>
          <w:sz w:val="24"/>
          <w:szCs w:val="24"/>
        </w:rPr>
      </w:pPr>
      <w:r w:rsidRPr="00EE6C6D">
        <w:rPr>
          <w:sz w:val="24"/>
          <w:szCs w:val="24"/>
        </w:rPr>
        <w:t>Ke dni ukončení podnájmu je podnájemce povinen prostor vyklidit a předat ve stavu způsobilém k dalšímu užívání.</w:t>
      </w:r>
    </w:p>
    <w:p w14:paraId="629C5418" w14:textId="77777777" w:rsidR="000A6090" w:rsidRDefault="000A6090">
      <w:pPr>
        <w:widowControl w:val="0"/>
        <w:rPr>
          <w:snapToGrid w:val="0"/>
          <w:sz w:val="24"/>
        </w:rPr>
      </w:pPr>
    </w:p>
    <w:p w14:paraId="2252F80F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V.</w:t>
      </w:r>
    </w:p>
    <w:p w14:paraId="64031B08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Práva a povinnosti nájemce a </w:t>
      </w:r>
      <w:r w:rsidR="00086173">
        <w:rPr>
          <w:b/>
          <w:snapToGrid w:val="0"/>
          <w:sz w:val="24"/>
        </w:rPr>
        <w:t>podnájemce</w:t>
      </w:r>
    </w:p>
    <w:p w14:paraId="6630FBF6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</w:p>
    <w:p w14:paraId="003F0874" w14:textId="77777777" w:rsidR="00417436" w:rsidRPr="00672E9F" w:rsidRDefault="009D6C25" w:rsidP="00417436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Podnájemce</w:t>
      </w:r>
      <w:r w:rsidR="00417436">
        <w:rPr>
          <w:snapToGrid w:val="0"/>
          <w:sz w:val="24"/>
        </w:rPr>
        <w:t xml:space="preserve"> je oprávněn užívat předmět podnájmu v rozsahu této smlouvy.</w:t>
      </w:r>
    </w:p>
    <w:p w14:paraId="0D33F5D4" w14:textId="77777777" w:rsidR="00417436" w:rsidRPr="00672E9F" w:rsidRDefault="00417436" w:rsidP="00417436">
      <w:pPr>
        <w:pStyle w:val="Zkladntext2"/>
        <w:numPr>
          <w:ilvl w:val="0"/>
          <w:numId w:val="5"/>
        </w:numPr>
      </w:pPr>
      <w:r>
        <w:t xml:space="preserve">Podnájemce se zavazuje dodržovat obecně závazné právní předpisy, hygienické normy a předpisy vydané, zejména v oblasti protipožární, bezpečnosti práce a ochrany životního prostředí. </w:t>
      </w:r>
      <w:r w:rsidR="009D6C25">
        <w:t>Podnájemce</w:t>
      </w:r>
      <w:r>
        <w:t xml:space="preserve"> odpovídá za likvidaci veškerých odpadů vzniklých při jeho činnosti. </w:t>
      </w:r>
    </w:p>
    <w:p w14:paraId="1D6A7586" w14:textId="77777777" w:rsidR="00417436" w:rsidRDefault="00417436" w:rsidP="00417436">
      <w:pPr>
        <w:pStyle w:val="Zkladntext2"/>
        <w:numPr>
          <w:ilvl w:val="0"/>
          <w:numId w:val="5"/>
        </w:numPr>
      </w:pPr>
      <w:r>
        <w:t>Podnájemce odpovídá nájemci za všechny škody, které by mu vznikly v souvislosti s užíváním předmětu nájmu podle této smlouvy.</w:t>
      </w:r>
    </w:p>
    <w:p w14:paraId="182B5DAE" w14:textId="11C56C22" w:rsidR="00417436" w:rsidRPr="00125C8F" w:rsidRDefault="00417436" w:rsidP="0041743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 xml:space="preserve">V rámci realizace projektu s názvem „Náhrada jednorázových kelímků ve městě </w:t>
      </w:r>
      <w:proofErr w:type="gramStart"/>
      <w:r w:rsidRPr="00125C8F">
        <w:rPr>
          <w:bCs/>
          <w:sz w:val="24"/>
          <w:szCs w:val="24"/>
        </w:rPr>
        <w:t xml:space="preserve">Hodonín - </w:t>
      </w:r>
      <w:r>
        <w:rPr>
          <w:bCs/>
          <w:sz w:val="24"/>
          <w:szCs w:val="24"/>
        </w:rPr>
        <w:t>prevence</w:t>
      </w:r>
      <w:proofErr w:type="gramEnd"/>
      <w:r>
        <w:rPr>
          <w:bCs/>
          <w:sz w:val="24"/>
          <w:szCs w:val="24"/>
        </w:rPr>
        <w:t xml:space="preserve"> odpadů“ j</w:t>
      </w:r>
      <w:r w:rsidRPr="00125C8F">
        <w:rPr>
          <w:bCs/>
          <w:sz w:val="24"/>
          <w:szCs w:val="24"/>
        </w:rPr>
        <w:t xml:space="preserve">e podnájemce s účinností </w:t>
      </w:r>
      <w:r w:rsidR="00837962">
        <w:rPr>
          <w:bCs/>
          <w:sz w:val="24"/>
          <w:szCs w:val="24"/>
        </w:rPr>
        <w:t>od zahájení koupací sezóny 202</w:t>
      </w:r>
      <w:r w:rsidR="001D53ED">
        <w:rPr>
          <w:bCs/>
          <w:sz w:val="24"/>
          <w:szCs w:val="24"/>
        </w:rPr>
        <w:t>5</w:t>
      </w:r>
      <w:r w:rsidRPr="008D448C">
        <w:rPr>
          <w:bCs/>
          <w:sz w:val="24"/>
          <w:szCs w:val="24"/>
        </w:rPr>
        <w:t xml:space="preserve"> </w:t>
      </w:r>
      <w:r w:rsidRPr="00125C8F">
        <w:rPr>
          <w:bCs/>
          <w:sz w:val="24"/>
          <w:szCs w:val="24"/>
        </w:rPr>
        <w:t xml:space="preserve">povinen používat pro prodej nápojů jen vratné </w:t>
      </w:r>
      <w:proofErr w:type="gramStart"/>
      <w:r w:rsidRPr="00125C8F">
        <w:rPr>
          <w:bCs/>
          <w:sz w:val="24"/>
          <w:szCs w:val="24"/>
        </w:rPr>
        <w:t>kelímky  NICKNACK</w:t>
      </w:r>
      <w:proofErr w:type="gramEnd"/>
      <w:r w:rsidRPr="00125C8F">
        <w:rPr>
          <w:bCs/>
          <w:sz w:val="24"/>
          <w:szCs w:val="24"/>
        </w:rPr>
        <w:t>, které mu budou vždy na základě př</w:t>
      </w:r>
      <w:r>
        <w:rPr>
          <w:bCs/>
          <w:sz w:val="24"/>
          <w:szCs w:val="24"/>
        </w:rPr>
        <w:t xml:space="preserve">edávacího protokolu </w:t>
      </w:r>
      <w:r w:rsidRPr="00125C8F">
        <w:rPr>
          <w:bCs/>
          <w:sz w:val="24"/>
          <w:szCs w:val="24"/>
        </w:rPr>
        <w:t>předány nájemcem</w:t>
      </w:r>
      <w:r>
        <w:rPr>
          <w:bCs/>
          <w:sz w:val="24"/>
          <w:szCs w:val="24"/>
        </w:rPr>
        <w:t xml:space="preserve">, </w:t>
      </w:r>
      <w:r w:rsidRPr="008D448C">
        <w:rPr>
          <w:bCs/>
          <w:sz w:val="24"/>
          <w:szCs w:val="24"/>
        </w:rPr>
        <w:t>v počtu dle potřeby podnájemce.</w:t>
      </w:r>
      <w:r w:rsidRPr="00125C8F">
        <w:rPr>
          <w:bCs/>
          <w:sz w:val="24"/>
          <w:szCs w:val="24"/>
        </w:rPr>
        <w:t xml:space="preserve"> Účelem tohoto projektu je předcházení vzniku odpadů. Podnájemce je povinen při manipulaci s vratnými kelímky dodržovat manuál používání vratných kelímků NICKNACK 0,2l, 0,3l a 0,5l, který mu byl při podpisu </w:t>
      </w:r>
      <w:r w:rsidRPr="008D448C">
        <w:rPr>
          <w:bCs/>
          <w:sz w:val="24"/>
          <w:szCs w:val="24"/>
        </w:rPr>
        <w:t>této smlouvy předán</w:t>
      </w:r>
      <w:r w:rsidRPr="00125C8F">
        <w:rPr>
          <w:bCs/>
          <w:sz w:val="24"/>
          <w:szCs w:val="24"/>
        </w:rPr>
        <w:t>.</w:t>
      </w:r>
    </w:p>
    <w:p w14:paraId="52B595CB" w14:textId="77777777" w:rsidR="00417436" w:rsidRPr="00125C8F" w:rsidRDefault="00417436" w:rsidP="0041743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 xml:space="preserve">Podnájemce je povinen návštěvníkům vydávat kelímky za vratnou zálohu ve výši 50,-Kč. V případě kelímku na kávu může vrátit zálohu pouze za celý vrácený set kelímek + víčko. </w:t>
      </w:r>
    </w:p>
    <w:p w14:paraId="1B406A12" w14:textId="77777777" w:rsidR="00417436" w:rsidRPr="00125C8F" w:rsidRDefault="00417436" w:rsidP="0041743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>Podnájemce se zavazuje neposkytovat jednorázové nádobí, resp. jednorázové nápojové kelímky. Dále je povinen provádět evidenci využití kelímků.</w:t>
      </w:r>
    </w:p>
    <w:p w14:paraId="1132041E" w14:textId="6F351F2F" w:rsidR="00417436" w:rsidRDefault="00417436" w:rsidP="0041743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>Inventura a vyúčtování vratných kelímků a záloh, včetně předání evidence jejich využití</w:t>
      </w:r>
      <w:r>
        <w:rPr>
          <w:bCs/>
          <w:sz w:val="24"/>
          <w:szCs w:val="24"/>
        </w:rPr>
        <w:t xml:space="preserve"> bude provedena nejpozději do 10 dnů</w:t>
      </w:r>
      <w:r w:rsidR="004D0A8A">
        <w:rPr>
          <w:bCs/>
          <w:sz w:val="24"/>
          <w:szCs w:val="24"/>
        </w:rPr>
        <w:t xml:space="preserve"> od ukončení koupací sezóny 202</w:t>
      </w:r>
      <w:r w:rsidR="001D53ED">
        <w:rPr>
          <w:bCs/>
          <w:sz w:val="24"/>
          <w:szCs w:val="24"/>
        </w:rPr>
        <w:t>5</w:t>
      </w:r>
      <w:r w:rsidRPr="00125C8F">
        <w:rPr>
          <w:bCs/>
          <w:sz w:val="24"/>
          <w:szCs w:val="24"/>
        </w:rPr>
        <w:t>. Za nevrácené kelímky budou zálohové platby předány nájemci v rámci vyúčtování, s tím, že nájemce vždy doplní podnájemci chybějící vratné kelímky.</w:t>
      </w:r>
    </w:p>
    <w:p w14:paraId="46D4A2A1" w14:textId="7FA7D9E8" w:rsidR="00417436" w:rsidRPr="00125C8F" w:rsidRDefault="00417436" w:rsidP="0041743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Podnájemce je pov</w:t>
      </w:r>
      <w:r w:rsidR="004A58AD">
        <w:rPr>
          <w:bCs/>
          <w:sz w:val="24"/>
          <w:szCs w:val="24"/>
        </w:rPr>
        <w:t>inen zaplatit nájemci částku 2,</w:t>
      </w:r>
      <w:r w:rsidR="0004151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Kč bez DPH/1 ks kelímku za servis mytí kelímků. </w:t>
      </w:r>
    </w:p>
    <w:p w14:paraId="666FC903" w14:textId="77777777" w:rsidR="002E0C66" w:rsidRDefault="002E0C66">
      <w:pPr>
        <w:widowControl w:val="0"/>
        <w:rPr>
          <w:snapToGrid w:val="0"/>
          <w:sz w:val="24"/>
        </w:rPr>
      </w:pPr>
    </w:p>
    <w:p w14:paraId="697F5FB7" w14:textId="77777777" w:rsidR="000A6090" w:rsidRDefault="000A6090">
      <w:pPr>
        <w:widowControl w:val="0"/>
        <w:rPr>
          <w:snapToGrid w:val="0"/>
          <w:sz w:val="24"/>
        </w:rPr>
      </w:pPr>
    </w:p>
    <w:p w14:paraId="6EF5C2F1" w14:textId="77777777" w:rsidR="006A7114" w:rsidRDefault="006A7114">
      <w:pPr>
        <w:widowControl w:val="0"/>
        <w:rPr>
          <w:snapToGrid w:val="0"/>
          <w:sz w:val="24"/>
        </w:rPr>
      </w:pPr>
    </w:p>
    <w:p w14:paraId="0EC1A65E" w14:textId="77777777" w:rsidR="006A7114" w:rsidRDefault="006A7114">
      <w:pPr>
        <w:widowControl w:val="0"/>
        <w:rPr>
          <w:snapToGrid w:val="0"/>
          <w:sz w:val="24"/>
        </w:rPr>
      </w:pPr>
    </w:p>
    <w:p w14:paraId="55CAC13C" w14:textId="77777777" w:rsidR="006A7114" w:rsidRDefault="006A7114">
      <w:pPr>
        <w:widowControl w:val="0"/>
        <w:rPr>
          <w:snapToGrid w:val="0"/>
          <w:sz w:val="24"/>
        </w:rPr>
      </w:pPr>
    </w:p>
    <w:p w14:paraId="3DCC2A72" w14:textId="77777777" w:rsidR="006A7114" w:rsidRDefault="006A7114">
      <w:pPr>
        <w:widowControl w:val="0"/>
        <w:rPr>
          <w:snapToGrid w:val="0"/>
          <w:sz w:val="24"/>
        </w:rPr>
      </w:pPr>
    </w:p>
    <w:p w14:paraId="7AF0911A" w14:textId="77777777" w:rsidR="006A7114" w:rsidRDefault="006A7114">
      <w:pPr>
        <w:widowControl w:val="0"/>
        <w:rPr>
          <w:snapToGrid w:val="0"/>
          <w:sz w:val="24"/>
        </w:rPr>
      </w:pPr>
    </w:p>
    <w:p w14:paraId="44D68939" w14:textId="77777777" w:rsidR="006A7114" w:rsidRDefault="006A7114">
      <w:pPr>
        <w:widowControl w:val="0"/>
        <w:rPr>
          <w:snapToGrid w:val="0"/>
          <w:sz w:val="24"/>
        </w:rPr>
      </w:pPr>
    </w:p>
    <w:p w14:paraId="5687D156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</w:t>
      </w:r>
      <w:r w:rsidR="00D32297">
        <w:rPr>
          <w:b/>
          <w:snapToGrid w:val="0"/>
          <w:sz w:val="24"/>
        </w:rPr>
        <w:t>I</w:t>
      </w:r>
      <w:r>
        <w:rPr>
          <w:b/>
          <w:snapToGrid w:val="0"/>
          <w:sz w:val="24"/>
        </w:rPr>
        <w:t>.</w:t>
      </w:r>
    </w:p>
    <w:p w14:paraId="3376B2A0" w14:textId="77777777" w:rsidR="002E0C66" w:rsidRDefault="002E0C66">
      <w:pPr>
        <w:widowControl w:val="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Závěrečná ujednání</w:t>
      </w:r>
    </w:p>
    <w:p w14:paraId="6BAF6A8E" w14:textId="77777777" w:rsidR="002E0C66" w:rsidRDefault="002E0C66">
      <w:pPr>
        <w:pStyle w:val="Zkladntext2"/>
      </w:pPr>
    </w:p>
    <w:p w14:paraId="4397BFE6" w14:textId="77777777" w:rsidR="002E0C66" w:rsidRDefault="002E0C66" w:rsidP="00672E9F">
      <w:pPr>
        <w:pStyle w:val="Zkladntext2"/>
        <w:numPr>
          <w:ilvl w:val="0"/>
          <w:numId w:val="6"/>
        </w:numPr>
      </w:pPr>
      <w:r>
        <w:t xml:space="preserve">Pro případ porušení závazků uvedených ve smlouvě se sjednává, že strana, která závazek porušila, uhradí oprávněné straně smluvní pokutu ve výši </w:t>
      </w:r>
      <w:proofErr w:type="gramStart"/>
      <w:r>
        <w:t>1.000,-</w:t>
      </w:r>
      <w:proofErr w:type="gramEnd"/>
      <w:r>
        <w:t xml:space="preserve"> Kč za každý případ. Smluvní pokuta, ať již vyúčtovaná nebo zaplacená, nemá vliv na možnost samostatně uplatnit náhradu škody.</w:t>
      </w:r>
    </w:p>
    <w:p w14:paraId="2FA9AD34" w14:textId="77777777" w:rsidR="002E0C66" w:rsidRDefault="002E0C66" w:rsidP="00672E9F">
      <w:pPr>
        <w:pStyle w:val="Zkladntext2"/>
        <w:numPr>
          <w:ilvl w:val="0"/>
          <w:numId w:val="6"/>
        </w:numPr>
      </w:pPr>
      <w:r>
        <w:t>Pokud v této smlouvě není stanoveno jinak, řídí se právní vztahy z ní vyplývající příslušnými ustanoveními občanského zákoníku ve znění pozdějších změn a doplňků.</w:t>
      </w:r>
    </w:p>
    <w:p w14:paraId="1B6664C8" w14:textId="77777777" w:rsidR="002E0C66" w:rsidRDefault="002E0C66" w:rsidP="00672E9F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Tuto smlouvu lze měnit, respektive doplnit pouze vzájemně odsouhlasenými písemnými projevy smluvních stran. </w:t>
      </w:r>
    </w:p>
    <w:p w14:paraId="42350BAC" w14:textId="77777777" w:rsidR="000A6090" w:rsidRPr="009D6C25" w:rsidRDefault="002E0C66" w:rsidP="000A6090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Smlouva se vyhotovuje ve dvou stejnopisech, z nichž každý má platnost prvopisu. Smluvní </w:t>
      </w:r>
      <w:r w:rsidR="001B3687">
        <w:rPr>
          <w:snapToGrid w:val="0"/>
          <w:sz w:val="24"/>
        </w:rPr>
        <w:t>strany obdrží po jednom z nich.</w:t>
      </w:r>
      <w:r w:rsidR="00894AB3">
        <w:rPr>
          <w:snapToGrid w:val="0"/>
          <w:sz w:val="24"/>
        </w:rPr>
        <w:t xml:space="preserve"> </w:t>
      </w:r>
    </w:p>
    <w:p w14:paraId="080D961C" w14:textId="77777777" w:rsidR="002E0C66" w:rsidRPr="00DD0A92" w:rsidRDefault="002E0C66" w:rsidP="00DD0A92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Všichni účastníci této smlouvy po jejím přečtení výslovně prohlašují, že souhlasí s jejím obsahem, že byla sepsána na základě jejich vážné a svobodné vůle a že nebyla uzavřena pod nátlakem za nápadně nevýhodných podmínek. Na důkaz toho připojují níže své podpisy. </w:t>
      </w:r>
    </w:p>
    <w:p w14:paraId="0C4474BC" w14:textId="77777777" w:rsidR="002E0C66" w:rsidRDefault="002E0C66">
      <w:pPr>
        <w:widowControl w:val="0"/>
        <w:jc w:val="both"/>
        <w:rPr>
          <w:snapToGrid w:val="0"/>
          <w:sz w:val="24"/>
        </w:rPr>
      </w:pPr>
    </w:p>
    <w:p w14:paraId="393F0B7E" w14:textId="77777777" w:rsidR="000A6090" w:rsidRDefault="000A6090">
      <w:pPr>
        <w:widowControl w:val="0"/>
        <w:jc w:val="both"/>
        <w:rPr>
          <w:snapToGrid w:val="0"/>
          <w:sz w:val="24"/>
        </w:rPr>
      </w:pPr>
    </w:p>
    <w:p w14:paraId="42A8A748" w14:textId="77777777" w:rsidR="000A6090" w:rsidRDefault="000A6090">
      <w:pPr>
        <w:widowControl w:val="0"/>
        <w:jc w:val="both"/>
        <w:rPr>
          <w:snapToGrid w:val="0"/>
          <w:sz w:val="24"/>
        </w:rPr>
      </w:pPr>
    </w:p>
    <w:p w14:paraId="5B264C12" w14:textId="3FCFF8E1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V Hodoníně dne:</w:t>
      </w:r>
      <w:r w:rsidR="00F416A4">
        <w:rPr>
          <w:snapToGrid w:val="0"/>
          <w:sz w:val="24"/>
        </w:rPr>
        <w:t xml:space="preserve"> </w:t>
      </w:r>
      <w:r w:rsidR="004A58AD">
        <w:rPr>
          <w:snapToGrid w:val="0"/>
          <w:sz w:val="24"/>
        </w:rPr>
        <w:t>2</w:t>
      </w:r>
      <w:r w:rsidR="004F609D">
        <w:rPr>
          <w:snapToGrid w:val="0"/>
          <w:sz w:val="24"/>
        </w:rPr>
        <w:t>6</w:t>
      </w:r>
      <w:r w:rsidR="004D0A8A">
        <w:rPr>
          <w:snapToGrid w:val="0"/>
          <w:sz w:val="24"/>
        </w:rPr>
        <w:t>.5.202</w:t>
      </w:r>
      <w:r w:rsidR="004F609D">
        <w:rPr>
          <w:snapToGrid w:val="0"/>
          <w:sz w:val="24"/>
        </w:rPr>
        <w:t>5</w:t>
      </w:r>
    </w:p>
    <w:p w14:paraId="6741435A" w14:textId="77777777" w:rsidR="002E0C66" w:rsidRDefault="002E0C66">
      <w:pPr>
        <w:widowControl w:val="0"/>
        <w:rPr>
          <w:snapToGrid w:val="0"/>
          <w:sz w:val="24"/>
        </w:rPr>
      </w:pPr>
    </w:p>
    <w:p w14:paraId="4DC1B45A" w14:textId="77777777" w:rsidR="002E0C66" w:rsidRDefault="002E0C66">
      <w:pPr>
        <w:widowControl w:val="0"/>
        <w:rPr>
          <w:snapToGrid w:val="0"/>
          <w:sz w:val="24"/>
        </w:rPr>
      </w:pPr>
    </w:p>
    <w:p w14:paraId="1B30C6AD" w14:textId="77777777" w:rsidR="002E0C66" w:rsidRDefault="002E0C66">
      <w:pPr>
        <w:widowControl w:val="0"/>
        <w:rPr>
          <w:snapToGrid w:val="0"/>
          <w:sz w:val="24"/>
        </w:rPr>
      </w:pPr>
    </w:p>
    <w:p w14:paraId="3942967E" w14:textId="77777777" w:rsidR="004A58AD" w:rsidRDefault="004A58AD">
      <w:pPr>
        <w:widowControl w:val="0"/>
        <w:rPr>
          <w:snapToGrid w:val="0"/>
          <w:sz w:val="24"/>
        </w:rPr>
      </w:pPr>
    </w:p>
    <w:p w14:paraId="4A9429BA" w14:textId="77777777" w:rsidR="000A6090" w:rsidRDefault="000A6090">
      <w:pPr>
        <w:widowControl w:val="0"/>
        <w:rPr>
          <w:snapToGrid w:val="0"/>
          <w:sz w:val="24"/>
        </w:rPr>
      </w:pPr>
    </w:p>
    <w:p w14:paraId="3111A920" w14:textId="77777777" w:rsidR="000A6090" w:rsidRDefault="000A6090">
      <w:pPr>
        <w:widowControl w:val="0"/>
        <w:rPr>
          <w:snapToGrid w:val="0"/>
          <w:sz w:val="24"/>
        </w:rPr>
      </w:pPr>
    </w:p>
    <w:p w14:paraId="0D920154" w14:textId="77777777" w:rsidR="0075331C" w:rsidRDefault="0075331C">
      <w:pPr>
        <w:widowControl w:val="0"/>
        <w:rPr>
          <w:snapToGrid w:val="0"/>
          <w:sz w:val="24"/>
        </w:rPr>
      </w:pPr>
    </w:p>
    <w:p w14:paraId="354998AE" w14:textId="77777777" w:rsidR="000A6090" w:rsidRDefault="000A6090">
      <w:pPr>
        <w:widowControl w:val="0"/>
        <w:rPr>
          <w:snapToGrid w:val="0"/>
          <w:sz w:val="24"/>
        </w:rPr>
      </w:pPr>
    </w:p>
    <w:p w14:paraId="637328A5" w14:textId="7777777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-----------------------------------------                           ----------------------------------------</w:t>
      </w:r>
    </w:p>
    <w:p w14:paraId="53EB2F30" w14:textId="7777777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nájemce                                                     </w:t>
      </w:r>
      <w:r>
        <w:rPr>
          <w:snapToGrid w:val="0"/>
          <w:sz w:val="24"/>
        </w:rPr>
        <w:tab/>
      </w:r>
      <w:r w:rsidR="00672E9F">
        <w:rPr>
          <w:snapToGrid w:val="0"/>
          <w:sz w:val="24"/>
        </w:rPr>
        <w:t>podnájemce</w:t>
      </w:r>
    </w:p>
    <w:sectPr w:rsidR="002E0C66">
      <w:pgSz w:w="11907" w:h="16840"/>
      <w:pgMar w:top="340" w:right="1418" w:bottom="284" w:left="1134" w:header="737" w:footer="28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6E"/>
    <w:multiLevelType w:val="hybridMultilevel"/>
    <w:tmpl w:val="BD505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6224B"/>
    <w:multiLevelType w:val="hybridMultilevel"/>
    <w:tmpl w:val="B9D2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4D47"/>
    <w:multiLevelType w:val="hybridMultilevel"/>
    <w:tmpl w:val="C6006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D66"/>
    <w:multiLevelType w:val="hybridMultilevel"/>
    <w:tmpl w:val="91060F58"/>
    <w:lvl w:ilvl="0" w:tplc="CD14248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BB26ACD"/>
    <w:multiLevelType w:val="hybridMultilevel"/>
    <w:tmpl w:val="800CF4EA"/>
    <w:lvl w:ilvl="0" w:tplc="EC26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81E48"/>
    <w:multiLevelType w:val="hybridMultilevel"/>
    <w:tmpl w:val="53ECEEE6"/>
    <w:lvl w:ilvl="0" w:tplc="9B5A3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476107">
    <w:abstractNumId w:val="4"/>
  </w:num>
  <w:num w:numId="2" w16cid:durableId="453864053">
    <w:abstractNumId w:val="5"/>
  </w:num>
  <w:num w:numId="3" w16cid:durableId="1300958873">
    <w:abstractNumId w:val="3"/>
  </w:num>
  <w:num w:numId="4" w16cid:durableId="762846145">
    <w:abstractNumId w:val="0"/>
  </w:num>
  <w:num w:numId="5" w16cid:durableId="1798259356">
    <w:abstractNumId w:val="1"/>
  </w:num>
  <w:num w:numId="6" w16cid:durableId="642123913">
    <w:abstractNumId w:val="2"/>
  </w:num>
  <w:num w:numId="7" w16cid:durableId="3005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6"/>
    <w:rsid w:val="000267E9"/>
    <w:rsid w:val="00036D38"/>
    <w:rsid w:val="00041513"/>
    <w:rsid w:val="00060F54"/>
    <w:rsid w:val="000809D6"/>
    <w:rsid w:val="00086173"/>
    <w:rsid w:val="000A6090"/>
    <w:rsid w:val="0013025C"/>
    <w:rsid w:val="00150E5F"/>
    <w:rsid w:val="001747EC"/>
    <w:rsid w:val="0017625F"/>
    <w:rsid w:val="001B3687"/>
    <w:rsid w:val="001D53ED"/>
    <w:rsid w:val="00207DF2"/>
    <w:rsid w:val="0021446B"/>
    <w:rsid w:val="002E0C66"/>
    <w:rsid w:val="0031156C"/>
    <w:rsid w:val="00323DA5"/>
    <w:rsid w:val="00325723"/>
    <w:rsid w:val="003554E3"/>
    <w:rsid w:val="003A36C4"/>
    <w:rsid w:val="00417436"/>
    <w:rsid w:val="00425861"/>
    <w:rsid w:val="00433319"/>
    <w:rsid w:val="004438FD"/>
    <w:rsid w:val="00451DDA"/>
    <w:rsid w:val="004A0CCB"/>
    <w:rsid w:val="004A54D8"/>
    <w:rsid w:val="004A58AD"/>
    <w:rsid w:val="004D0A8A"/>
    <w:rsid w:val="004F609D"/>
    <w:rsid w:val="00533F7D"/>
    <w:rsid w:val="005D052E"/>
    <w:rsid w:val="005F138E"/>
    <w:rsid w:val="00615C5B"/>
    <w:rsid w:val="00645E78"/>
    <w:rsid w:val="006477A6"/>
    <w:rsid w:val="00672E9F"/>
    <w:rsid w:val="006A7114"/>
    <w:rsid w:val="006B21BA"/>
    <w:rsid w:val="006B6BD4"/>
    <w:rsid w:val="00725D7F"/>
    <w:rsid w:val="0075331C"/>
    <w:rsid w:val="007A2CFB"/>
    <w:rsid w:val="007C575F"/>
    <w:rsid w:val="007D0514"/>
    <w:rsid w:val="007F200D"/>
    <w:rsid w:val="00837962"/>
    <w:rsid w:val="00883C39"/>
    <w:rsid w:val="00892EAC"/>
    <w:rsid w:val="00894AB3"/>
    <w:rsid w:val="00897C97"/>
    <w:rsid w:val="009767BB"/>
    <w:rsid w:val="00984970"/>
    <w:rsid w:val="009D6C25"/>
    <w:rsid w:val="009E035B"/>
    <w:rsid w:val="00A04865"/>
    <w:rsid w:val="00A53D34"/>
    <w:rsid w:val="00A910D3"/>
    <w:rsid w:val="00A91305"/>
    <w:rsid w:val="00AB03F5"/>
    <w:rsid w:val="00AB6545"/>
    <w:rsid w:val="00AC1C99"/>
    <w:rsid w:val="00AD0FD0"/>
    <w:rsid w:val="00B04B27"/>
    <w:rsid w:val="00B51133"/>
    <w:rsid w:val="00B609A2"/>
    <w:rsid w:val="00B940EB"/>
    <w:rsid w:val="00B95DFB"/>
    <w:rsid w:val="00BB239B"/>
    <w:rsid w:val="00BF0D75"/>
    <w:rsid w:val="00BF3D02"/>
    <w:rsid w:val="00C1277B"/>
    <w:rsid w:val="00C947CB"/>
    <w:rsid w:val="00CB459D"/>
    <w:rsid w:val="00CC61CE"/>
    <w:rsid w:val="00D32297"/>
    <w:rsid w:val="00D77808"/>
    <w:rsid w:val="00D91541"/>
    <w:rsid w:val="00D976BD"/>
    <w:rsid w:val="00DB36DB"/>
    <w:rsid w:val="00DD0A92"/>
    <w:rsid w:val="00E5568A"/>
    <w:rsid w:val="00E73F20"/>
    <w:rsid w:val="00E81405"/>
    <w:rsid w:val="00ED029D"/>
    <w:rsid w:val="00EE6C6D"/>
    <w:rsid w:val="00EF108F"/>
    <w:rsid w:val="00EF1614"/>
    <w:rsid w:val="00F1255C"/>
    <w:rsid w:val="00F416A4"/>
    <w:rsid w:val="00F427D4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D650D"/>
  <w15:chartTrackingRefBased/>
  <w15:docId w15:val="{EF035C9E-B1E7-40CA-A0CD-6AD6989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Impact" w:hAnsi="Impact"/>
      <w:b/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ourier New" w:hAnsi="Courier New"/>
      <w:sz w:val="36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Zkladntext3">
    <w:name w:val="Body Text 3"/>
    <w:basedOn w:val="Normln"/>
    <w:pPr>
      <w:widowControl w:val="0"/>
    </w:pPr>
    <w:rPr>
      <w:snapToGrid w:val="0"/>
      <w:sz w:val="24"/>
    </w:rPr>
  </w:style>
  <w:style w:type="paragraph" w:styleId="Textbubliny">
    <w:name w:val="Balloon Text"/>
    <w:basedOn w:val="Normln"/>
    <w:link w:val="TextbublinyChar"/>
    <w:rsid w:val="00F12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255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9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MBS Hodonín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MBS Hodonín</dc:creator>
  <cp:keywords/>
  <cp:lastModifiedBy>Andrea Kubátová</cp:lastModifiedBy>
  <cp:revision>2</cp:revision>
  <cp:lastPrinted>2020-07-07T08:04:00Z</cp:lastPrinted>
  <dcterms:created xsi:type="dcterms:W3CDTF">2025-06-02T05:33:00Z</dcterms:created>
  <dcterms:modified xsi:type="dcterms:W3CDTF">2025-06-02T05:33:00Z</dcterms:modified>
</cp:coreProperties>
</file>