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B054" w14:textId="71A28F1B" w:rsidR="007407F9" w:rsidRPr="008B4E59" w:rsidRDefault="00807F6B" w:rsidP="007407F9">
      <w:pPr>
        <w:spacing w:after="3" w:line="344" w:lineRule="auto"/>
        <w:ind w:left="3315" w:right="3630" w:hanging="621"/>
        <w:jc w:val="center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Dodatek č. 1</w:t>
      </w:r>
    </w:p>
    <w:p w14:paraId="6852BED4" w14:textId="4AADCE72" w:rsidR="00807F6B" w:rsidRPr="008B4E59" w:rsidRDefault="00807F6B" w:rsidP="007407F9">
      <w:pPr>
        <w:spacing w:after="3" w:line="344" w:lineRule="auto"/>
        <w:ind w:left="3315" w:right="3630" w:hanging="621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k Dílčí smlouvě č. </w:t>
      </w:r>
      <w:r w:rsidR="00733F7F" w:rsidRPr="008B4E59">
        <w:rPr>
          <w:b/>
          <w:color w:val="404040" w:themeColor="text1" w:themeTint="BF"/>
        </w:rPr>
        <w:t>47</w:t>
      </w:r>
    </w:p>
    <w:p w14:paraId="496FCB25" w14:textId="522E9A10" w:rsidR="00807F6B" w:rsidRPr="008B4E59" w:rsidRDefault="00B5192B" w:rsidP="00B5192B">
      <w:pPr>
        <w:spacing w:after="95"/>
        <w:ind w:left="5" w:hanging="10"/>
        <w:jc w:val="both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    </w:t>
      </w:r>
      <w:r w:rsidR="00807F6B" w:rsidRPr="008B4E59">
        <w:rPr>
          <w:b/>
          <w:color w:val="404040" w:themeColor="text1" w:themeTint="BF"/>
        </w:rPr>
        <w:t xml:space="preserve">(uzavřené k Rámcové dohodě na podporu provozu a rozvoje informačních systémů </w:t>
      </w:r>
    </w:p>
    <w:p w14:paraId="60D11525" w14:textId="77777777" w:rsidR="00807F6B" w:rsidRPr="008B4E59" w:rsidRDefault="00807F6B" w:rsidP="00807F6B">
      <w:pPr>
        <w:spacing w:after="75"/>
        <w:ind w:right="313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č. 2023/104 NAKIT) </w:t>
      </w:r>
    </w:p>
    <w:p w14:paraId="502509F4" w14:textId="4A3B3B19" w:rsidR="00807F6B" w:rsidRPr="008B4E59" w:rsidRDefault="00807F6B" w:rsidP="00807F6B">
      <w:pPr>
        <w:spacing w:after="57"/>
        <w:ind w:left="243" w:hanging="10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uzavřené dne 19. 12. 2024 pod č. Objednatele 2024/338 NAKIT (dále jen </w:t>
      </w:r>
      <w:r w:rsidR="00912A45" w:rsidRPr="008B4E59">
        <w:rPr>
          <w:color w:val="404040" w:themeColor="text1" w:themeTint="BF"/>
        </w:rPr>
        <w:t>„</w:t>
      </w:r>
      <w:r w:rsidR="00912A45" w:rsidRPr="009A0E5A">
        <w:rPr>
          <w:b/>
          <w:bCs/>
          <w:color w:val="404040" w:themeColor="text1" w:themeTint="BF"/>
        </w:rPr>
        <w:t>Smlouva</w:t>
      </w:r>
      <w:r w:rsidR="00912A45" w:rsidRPr="008B4E59">
        <w:rPr>
          <w:color w:val="404040" w:themeColor="text1" w:themeTint="BF"/>
        </w:rPr>
        <w:t>“</w:t>
      </w:r>
      <w:r w:rsidRPr="008B4E59">
        <w:rPr>
          <w:color w:val="404040" w:themeColor="text1" w:themeTint="BF"/>
        </w:rPr>
        <w:t xml:space="preserve">) </w:t>
      </w:r>
    </w:p>
    <w:p w14:paraId="2B1CD740" w14:textId="77777777" w:rsidR="00915F23" w:rsidRPr="008B4E59" w:rsidRDefault="00915F23">
      <w:pPr>
        <w:pStyle w:val="Zkladntext"/>
        <w:rPr>
          <w:b/>
          <w:color w:val="404040" w:themeColor="text1" w:themeTint="BF"/>
        </w:rPr>
      </w:pPr>
    </w:p>
    <w:p w14:paraId="7CCFD52A" w14:textId="77777777" w:rsidR="00915F23" w:rsidRPr="008B4E59" w:rsidRDefault="00BC64B5">
      <w:pPr>
        <w:ind w:left="221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Národní</w:t>
      </w:r>
      <w:r w:rsidRPr="008B4E59">
        <w:rPr>
          <w:b/>
          <w:color w:val="404040" w:themeColor="text1" w:themeTint="BF"/>
          <w:spacing w:val="-5"/>
        </w:rPr>
        <w:t xml:space="preserve"> </w:t>
      </w:r>
      <w:r w:rsidRPr="008B4E59">
        <w:rPr>
          <w:b/>
          <w:color w:val="404040" w:themeColor="text1" w:themeTint="BF"/>
        </w:rPr>
        <w:t>agentura</w:t>
      </w:r>
      <w:r w:rsidRPr="008B4E59">
        <w:rPr>
          <w:b/>
          <w:color w:val="404040" w:themeColor="text1" w:themeTint="BF"/>
          <w:spacing w:val="-7"/>
        </w:rPr>
        <w:t xml:space="preserve"> </w:t>
      </w:r>
      <w:r w:rsidRPr="008B4E59">
        <w:rPr>
          <w:b/>
          <w:color w:val="404040" w:themeColor="text1" w:themeTint="BF"/>
        </w:rPr>
        <w:t>pro</w:t>
      </w:r>
      <w:r w:rsidRPr="008B4E59">
        <w:rPr>
          <w:b/>
          <w:color w:val="404040" w:themeColor="text1" w:themeTint="BF"/>
          <w:spacing w:val="-5"/>
        </w:rPr>
        <w:t xml:space="preserve"> </w:t>
      </w:r>
      <w:r w:rsidRPr="008B4E59">
        <w:rPr>
          <w:b/>
          <w:color w:val="404040" w:themeColor="text1" w:themeTint="BF"/>
        </w:rPr>
        <w:t>komunikační</w:t>
      </w:r>
      <w:r w:rsidRPr="008B4E59">
        <w:rPr>
          <w:b/>
          <w:color w:val="404040" w:themeColor="text1" w:themeTint="BF"/>
          <w:spacing w:val="-3"/>
        </w:rPr>
        <w:t xml:space="preserve"> </w:t>
      </w:r>
      <w:r w:rsidRPr="008B4E59">
        <w:rPr>
          <w:b/>
          <w:color w:val="404040" w:themeColor="text1" w:themeTint="BF"/>
        </w:rPr>
        <w:t>a</w:t>
      </w:r>
      <w:r w:rsidRPr="008B4E59">
        <w:rPr>
          <w:b/>
          <w:color w:val="404040" w:themeColor="text1" w:themeTint="BF"/>
          <w:spacing w:val="-7"/>
        </w:rPr>
        <w:t xml:space="preserve"> </w:t>
      </w:r>
      <w:r w:rsidRPr="008B4E59">
        <w:rPr>
          <w:b/>
          <w:color w:val="404040" w:themeColor="text1" w:themeTint="BF"/>
        </w:rPr>
        <w:t>informační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</w:rPr>
        <w:t>technologie,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</w:rPr>
        <w:t>s.</w:t>
      </w:r>
      <w:r w:rsidRPr="008B4E59">
        <w:rPr>
          <w:b/>
          <w:color w:val="404040" w:themeColor="text1" w:themeTint="BF"/>
          <w:spacing w:val="-6"/>
        </w:rPr>
        <w:t xml:space="preserve"> </w:t>
      </w:r>
      <w:r w:rsidRPr="008B4E59">
        <w:rPr>
          <w:b/>
          <w:color w:val="404040" w:themeColor="text1" w:themeTint="BF"/>
          <w:spacing w:val="-5"/>
        </w:rPr>
        <w:t>p.</w:t>
      </w:r>
    </w:p>
    <w:p w14:paraId="4C319874" w14:textId="77777777" w:rsidR="00915F23" w:rsidRPr="008B4E59" w:rsidRDefault="00BC64B5">
      <w:pPr>
        <w:pStyle w:val="Zkladntext"/>
        <w:tabs>
          <w:tab w:val="left" w:pos="3766"/>
        </w:tabs>
        <w:spacing w:before="244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se</w:t>
      </w:r>
      <w:r w:rsidRPr="008B4E59">
        <w:rPr>
          <w:color w:val="404040" w:themeColor="text1" w:themeTint="BF"/>
          <w:spacing w:val="-1"/>
        </w:rPr>
        <w:t xml:space="preserve"> </w:t>
      </w:r>
      <w:r w:rsidRPr="008B4E59">
        <w:rPr>
          <w:color w:val="404040" w:themeColor="text1" w:themeTint="BF"/>
          <w:spacing w:val="-2"/>
        </w:rPr>
        <w:t>sídlem:</w:t>
      </w:r>
      <w:r w:rsidRPr="008B4E59">
        <w:rPr>
          <w:color w:val="404040" w:themeColor="text1" w:themeTint="BF"/>
        </w:rPr>
        <w:tab/>
        <w:t>Kodaňská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1441/46,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Praha</w:t>
      </w:r>
      <w:r w:rsidRPr="008B4E59">
        <w:rPr>
          <w:color w:val="404040" w:themeColor="text1" w:themeTint="BF"/>
          <w:spacing w:val="-6"/>
        </w:rPr>
        <w:t xml:space="preserve"> </w:t>
      </w:r>
      <w:r w:rsidRPr="008B4E59">
        <w:rPr>
          <w:color w:val="404040" w:themeColor="text1" w:themeTint="BF"/>
        </w:rPr>
        <w:t>10,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Vršovice,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101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  <w:spacing w:val="-5"/>
        </w:rPr>
        <w:t>00</w:t>
      </w:r>
    </w:p>
    <w:p w14:paraId="25B27F12" w14:textId="77777777" w:rsidR="00915F23" w:rsidRPr="008B4E59" w:rsidRDefault="00BC64B5">
      <w:pPr>
        <w:pStyle w:val="Zkladntext"/>
        <w:tabs>
          <w:tab w:val="left" w:pos="3766"/>
        </w:tabs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IČO:</w:t>
      </w:r>
      <w:r w:rsidRPr="008B4E59">
        <w:rPr>
          <w:rFonts w:ascii="Times New Roman" w:hAnsi="Times New Roman"/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04767543</w:t>
      </w:r>
    </w:p>
    <w:p w14:paraId="4BC1A2B7" w14:textId="77777777" w:rsidR="00915F23" w:rsidRPr="008B4E59" w:rsidRDefault="00BC64B5">
      <w:pPr>
        <w:pStyle w:val="Zkladntext"/>
        <w:tabs>
          <w:tab w:val="left" w:pos="3766"/>
        </w:tabs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DIČ:</w:t>
      </w:r>
      <w:r w:rsidRPr="008B4E59">
        <w:rPr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CZ04767543</w:t>
      </w:r>
    </w:p>
    <w:p w14:paraId="4144F583" w14:textId="236D6B7E" w:rsidR="00915F23" w:rsidRPr="008B4E59" w:rsidRDefault="00BC64B5" w:rsidP="0050725E">
      <w:pPr>
        <w:pStyle w:val="Zkladntext"/>
        <w:tabs>
          <w:tab w:val="left" w:pos="3766"/>
        </w:tabs>
        <w:spacing w:before="121"/>
        <w:ind w:left="3766" w:right="1223" w:hanging="3546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zastoupen:</w:t>
      </w:r>
      <w:r w:rsidRPr="008B4E59">
        <w:rPr>
          <w:color w:val="404040" w:themeColor="text1" w:themeTint="BF"/>
        </w:rPr>
        <w:tab/>
      </w:r>
      <w:r w:rsidR="00E82A35">
        <w:rPr>
          <w:color w:val="404040" w:themeColor="text1" w:themeTint="BF"/>
        </w:rPr>
        <w:t>xxx</w:t>
      </w:r>
    </w:p>
    <w:p w14:paraId="0D8B7E3B" w14:textId="354FFCE3" w:rsidR="00915F23" w:rsidRPr="008B4E59" w:rsidRDefault="00BC64B5">
      <w:pPr>
        <w:pStyle w:val="Zkladntext"/>
        <w:tabs>
          <w:tab w:val="left" w:pos="3766"/>
        </w:tabs>
        <w:spacing w:before="121" w:line="355" w:lineRule="auto"/>
        <w:ind w:left="221" w:right="1636"/>
        <w:rPr>
          <w:color w:val="404040" w:themeColor="text1" w:themeTint="BF"/>
        </w:rPr>
      </w:pPr>
      <w:r w:rsidRPr="008B4E59">
        <w:rPr>
          <w:color w:val="404040" w:themeColor="text1" w:themeTint="BF"/>
        </w:rPr>
        <w:t>zapsán v obchodním rejstříku</w:t>
      </w:r>
      <w:r w:rsidRPr="008B4E59">
        <w:rPr>
          <w:color w:val="404040" w:themeColor="text1" w:themeTint="BF"/>
        </w:rPr>
        <w:tab/>
        <w:t>Městského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soudu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Praze,</w:t>
      </w:r>
      <w:r w:rsidRPr="008B4E59">
        <w:rPr>
          <w:color w:val="404040" w:themeColor="text1" w:themeTint="BF"/>
          <w:spacing w:val="-3"/>
        </w:rPr>
        <w:t xml:space="preserve"> </w:t>
      </w:r>
      <w:r w:rsidRPr="008B4E59">
        <w:rPr>
          <w:color w:val="404040" w:themeColor="text1" w:themeTint="BF"/>
        </w:rPr>
        <w:t>oddíl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A,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vložka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 xml:space="preserve">77322 </w:t>
      </w:r>
      <w:r w:rsidRPr="008B4E59">
        <w:rPr>
          <w:color w:val="404040" w:themeColor="text1" w:themeTint="BF"/>
          <w:position w:val="-1"/>
        </w:rPr>
        <w:t>bankovní spojení:</w:t>
      </w:r>
      <w:r w:rsidRPr="008B4E59">
        <w:rPr>
          <w:color w:val="404040" w:themeColor="text1" w:themeTint="BF"/>
          <w:position w:val="-1"/>
        </w:rPr>
        <w:tab/>
      </w:r>
      <w:r w:rsidR="00E82A35">
        <w:rPr>
          <w:color w:val="404040" w:themeColor="text1" w:themeTint="BF"/>
        </w:rPr>
        <w:t>xxx</w:t>
      </w:r>
    </w:p>
    <w:p w14:paraId="3B765688" w14:textId="76F11505" w:rsidR="00915F23" w:rsidRPr="008B4E59" w:rsidRDefault="00BC64B5">
      <w:pPr>
        <w:pStyle w:val="Zkladntext"/>
        <w:spacing w:line="227" w:lineRule="exact"/>
        <w:ind w:left="3766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č.ú.:</w:t>
      </w:r>
      <w:r w:rsidR="00E82A35">
        <w:rPr>
          <w:color w:val="404040" w:themeColor="text1" w:themeTint="BF"/>
          <w:spacing w:val="-2"/>
        </w:rPr>
        <w:t>xxx</w:t>
      </w:r>
    </w:p>
    <w:p w14:paraId="45E2629E" w14:textId="5AA8494A" w:rsidR="00915F23" w:rsidRPr="008B4E59" w:rsidRDefault="00BC64B5">
      <w:pPr>
        <w:spacing w:line="279" w:lineRule="exact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(dále</w:t>
      </w:r>
      <w:r w:rsidRPr="008B4E59">
        <w:rPr>
          <w:color w:val="404040" w:themeColor="text1" w:themeTint="BF"/>
          <w:spacing w:val="-11"/>
        </w:rPr>
        <w:t xml:space="preserve"> </w:t>
      </w:r>
      <w:r w:rsidRPr="008B4E59">
        <w:rPr>
          <w:color w:val="404040" w:themeColor="text1" w:themeTint="BF"/>
          <w:spacing w:val="-4"/>
        </w:rPr>
        <w:t>jako</w:t>
      </w:r>
      <w:r w:rsidRPr="008B4E59">
        <w:rPr>
          <w:color w:val="404040" w:themeColor="text1" w:themeTint="BF"/>
          <w:spacing w:val="-10"/>
        </w:rPr>
        <w:t xml:space="preserve"> </w:t>
      </w:r>
      <w:r w:rsidRPr="008B4E59">
        <w:rPr>
          <w:b/>
          <w:color w:val="404040" w:themeColor="text1" w:themeTint="BF"/>
          <w:spacing w:val="-4"/>
        </w:rPr>
        <w:t>„Objednatel“</w:t>
      </w:r>
      <w:r w:rsidRPr="008B4E59">
        <w:rPr>
          <w:b/>
          <w:color w:val="404040" w:themeColor="text1" w:themeTint="BF"/>
          <w:spacing w:val="-11"/>
        </w:rPr>
        <w:t xml:space="preserve"> </w:t>
      </w:r>
      <w:r w:rsidRPr="008B4E59">
        <w:rPr>
          <w:color w:val="404040" w:themeColor="text1" w:themeTint="BF"/>
          <w:spacing w:val="-4"/>
        </w:rPr>
        <w:t>či</w:t>
      </w:r>
      <w:r w:rsidRPr="008B4E59">
        <w:rPr>
          <w:color w:val="404040" w:themeColor="text1" w:themeTint="BF"/>
          <w:spacing w:val="-11"/>
        </w:rPr>
        <w:t xml:space="preserve"> </w:t>
      </w:r>
      <w:r w:rsidRPr="008B4E59">
        <w:rPr>
          <w:b/>
          <w:color w:val="404040" w:themeColor="text1" w:themeTint="BF"/>
          <w:spacing w:val="-4"/>
        </w:rPr>
        <w:t>„NAKIT“</w:t>
      </w:r>
      <w:r w:rsidRPr="008B4E59">
        <w:rPr>
          <w:color w:val="404040" w:themeColor="text1" w:themeTint="BF"/>
          <w:spacing w:val="-4"/>
        </w:rPr>
        <w:t>)</w:t>
      </w:r>
    </w:p>
    <w:p w14:paraId="18EE1E9E" w14:textId="7B5FDB73" w:rsidR="00915F23" w:rsidRPr="008B4E59" w:rsidRDefault="00966FF6" w:rsidP="007D671D">
      <w:pPr>
        <w:pStyle w:val="Zkladntext"/>
        <w:spacing w:before="240" w:after="240"/>
        <w:ind w:left="142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  <w:r w:rsidR="007D671D" w:rsidRPr="008B4E59">
        <w:rPr>
          <w:color w:val="404040" w:themeColor="text1" w:themeTint="BF"/>
        </w:rPr>
        <w:t>a</w:t>
      </w:r>
    </w:p>
    <w:p w14:paraId="0219575D" w14:textId="77777777" w:rsidR="00915F23" w:rsidRPr="008B4E59" w:rsidRDefault="00BC64B5">
      <w:pPr>
        <w:ind w:left="221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t>Aricoma</w:t>
      </w:r>
      <w:r w:rsidRPr="008B4E59">
        <w:rPr>
          <w:b/>
          <w:color w:val="404040" w:themeColor="text1" w:themeTint="BF"/>
          <w:spacing w:val="-10"/>
        </w:rPr>
        <w:t xml:space="preserve"> </w:t>
      </w:r>
      <w:r w:rsidRPr="008B4E59">
        <w:rPr>
          <w:b/>
          <w:color w:val="404040" w:themeColor="text1" w:themeTint="BF"/>
        </w:rPr>
        <w:t>Systems</w:t>
      </w:r>
      <w:r w:rsidRPr="008B4E59">
        <w:rPr>
          <w:b/>
          <w:color w:val="404040" w:themeColor="text1" w:themeTint="BF"/>
          <w:spacing w:val="-4"/>
        </w:rPr>
        <w:t xml:space="preserve"> a.s.</w:t>
      </w:r>
    </w:p>
    <w:p w14:paraId="21393499" w14:textId="77777777" w:rsidR="00915F23" w:rsidRPr="008B4E59" w:rsidRDefault="00915F23">
      <w:pPr>
        <w:pStyle w:val="Zkladntext"/>
        <w:spacing w:before="63"/>
        <w:rPr>
          <w:b/>
          <w:color w:val="404040" w:themeColor="text1" w:themeTint="BF"/>
        </w:rPr>
      </w:pPr>
    </w:p>
    <w:p w14:paraId="2AA392B3" w14:textId="77777777" w:rsidR="00915F23" w:rsidRPr="008B4E59" w:rsidRDefault="00BC64B5">
      <w:pPr>
        <w:pStyle w:val="Zkladntext"/>
        <w:tabs>
          <w:tab w:val="left" w:pos="3749"/>
        </w:tabs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se</w:t>
      </w:r>
      <w:r w:rsidRPr="008B4E59">
        <w:rPr>
          <w:color w:val="404040" w:themeColor="text1" w:themeTint="BF"/>
          <w:spacing w:val="-1"/>
        </w:rPr>
        <w:t xml:space="preserve"> </w:t>
      </w:r>
      <w:r w:rsidRPr="008B4E59">
        <w:rPr>
          <w:color w:val="404040" w:themeColor="text1" w:themeTint="BF"/>
          <w:spacing w:val="-2"/>
        </w:rPr>
        <w:t>sídlem:</w:t>
      </w:r>
      <w:r w:rsidRPr="008B4E59">
        <w:rPr>
          <w:color w:val="404040" w:themeColor="text1" w:themeTint="BF"/>
        </w:rPr>
        <w:tab/>
        <w:t>Hornopolní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</w:rPr>
        <w:t>3322/34,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Moravská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Ostrava,</w:t>
      </w:r>
      <w:r w:rsidRPr="008B4E59">
        <w:rPr>
          <w:color w:val="404040" w:themeColor="text1" w:themeTint="BF"/>
          <w:spacing w:val="-4"/>
        </w:rPr>
        <w:t xml:space="preserve"> </w:t>
      </w:r>
      <w:r w:rsidRPr="008B4E59">
        <w:rPr>
          <w:color w:val="404040" w:themeColor="text1" w:themeTint="BF"/>
        </w:rPr>
        <w:t>702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</w:rPr>
        <w:t>00</w:t>
      </w:r>
      <w:r w:rsidRPr="008B4E59">
        <w:rPr>
          <w:color w:val="404040" w:themeColor="text1" w:themeTint="BF"/>
          <w:spacing w:val="-8"/>
        </w:rPr>
        <w:t xml:space="preserve"> </w:t>
      </w:r>
      <w:r w:rsidRPr="008B4E59">
        <w:rPr>
          <w:color w:val="404040" w:themeColor="text1" w:themeTint="BF"/>
          <w:spacing w:val="-2"/>
        </w:rPr>
        <w:t>Ostrava</w:t>
      </w:r>
    </w:p>
    <w:p w14:paraId="603FA196" w14:textId="77777777" w:rsidR="00915F23" w:rsidRPr="008B4E59" w:rsidRDefault="00BC64B5">
      <w:pPr>
        <w:pStyle w:val="Zkladntext"/>
        <w:tabs>
          <w:tab w:val="left" w:pos="3749"/>
        </w:tabs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IČO:</w:t>
      </w:r>
      <w:r w:rsidRPr="008B4E59">
        <w:rPr>
          <w:rFonts w:ascii="Times New Roman" w:hAnsi="Times New Roman"/>
          <w:color w:val="404040" w:themeColor="text1" w:themeTint="BF"/>
        </w:rPr>
        <w:tab/>
      </w:r>
      <w:r w:rsidRPr="008B4E59">
        <w:rPr>
          <w:color w:val="404040" w:themeColor="text1" w:themeTint="BF"/>
          <w:spacing w:val="-2"/>
        </w:rPr>
        <w:t>04308697</w:t>
      </w:r>
    </w:p>
    <w:p w14:paraId="0426D90E" w14:textId="77777777" w:rsidR="00915F23" w:rsidRPr="008B4E59" w:rsidRDefault="00915F23">
      <w:pPr>
        <w:rPr>
          <w:color w:val="404040" w:themeColor="text1" w:themeTint="BF"/>
        </w:rPr>
        <w:sectPr w:rsidR="00915F23" w:rsidRPr="008B4E5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2000" w:right="720" w:bottom="980" w:left="1020" w:header="649" w:footer="795" w:gutter="0"/>
          <w:pgNumType w:start="1"/>
          <w:cols w:space="708"/>
        </w:sectPr>
      </w:pPr>
    </w:p>
    <w:p w14:paraId="61618E3A" w14:textId="77777777" w:rsidR="00915F23" w:rsidRPr="008B4E59" w:rsidRDefault="00BC64B5">
      <w:pPr>
        <w:pStyle w:val="Zkladntext"/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4"/>
        </w:rPr>
        <w:t>DIČ:</w:t>
      </w:r>
    </w:p>
    <w:p w14:paraId="769A4459" w14:textId="77777777" w:rsidR="00915F23" w:rsidRPr="008B4E59" w:rsidRDefault="00BC64B5">
      <w:pPr>
        <w:pStyle w:val="Zkladntext"/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zastoupena:</w:t>
      </w:r>
    </w:p>
    <w:p w14:paraId="173CFF26" w14:textId="77777777" w:rsidR="00915F23" w:rsidRPr="008B4E59" w:rsidRDefault="00BC64B5">
      <w:pPr>
        <w:pStyle w:val="Zkladntext"/>
        <w:spacing w:before="122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br w:type="column"/>
      </w:r>
      <w:r w:rsidRPr="008B4E59">
        <w:rPr>
          <w:color w:val="404040" w:themeColor="text1" w:themeTint="BF"/>
          <w:spacing w:val="-2"/>
        </w:rPr>
        <w:t>CZ04308697</w:t>
      </w:r>
    </w:p>
    <w:p w14:paraId="34F3F7EE" w14:textId="69335564" w:rsidR="00915F23" w:rsidRPr="008B4E59" w:rsidRDefault="00E82A35" w:rsidP="006E57EF">
      <w:pPr>
        <w:pStyle w:val="Zkladntext"/>
        <w:spacing w:before="119"/>
        <w:ind w:left="221"/>
        <w:rPr>
          <w:color w:val="404040" w:themeColor="text1" w:themeTint="BF"/>
        </w:rPr>
        <w:sectPr w:rsidR="00915F23" w:rsidRPr="008B4E59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463" w:space="2066"/>
            <w:col w:w="6641"/>
          </w:cols>
        </w:sectPr>
      </w:pPr>
      <w:r>
        <w:rPr>
          <w:color w:val="404040" w:themeColor="text1" w:themeTint="BF"/>
        </w:rPr>
        <w:t>xxx</w:t>
      </w:r>
    </w:p>
    <w:p w14:paraId="0E7B4359" w14:textId="77777777" w:rsidR="00915F23" w:rsidRPr="008B4E59" w:rsidRDefault="00BC64B5">
      <w:pPr>
        <w:pStyle w:val="Zkladntext"/>
        <w:tabs>
          <w:tab w:val="left" w:pos="3749"/>
        </w:tabs>
        <w:spacing w:before="119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zapsán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>obchodním</w:t>
      </w:r>
      <w:r w:rsidRPr="008B4E59">
        <w:rPr>
          <w:color w:val="404040" w:themeColor="text1" w:themeTint="BF"/>
          <w:spacing w:val="-5"/>
        </w:rPr>
        <w:t xml:space="preserve"> </w:t>
      </w:r>
      <w:r w:rsidRPr="008B4E59">
        <w:rPr>
          <w:color w:val="404040" w:themeColor="text1" w:themeTint="BF"/>
          <w:spacing w:val="-2"/>
        </w:rPr>
        <w:t>rejstříku</w:t>
      </w:r>
      <w:r w:rsidRPr="008B4E59">
        <w:rPr>
          <w:color w:val="404040" w:themeColor="text1" w:themeTint="BF"/>
        </w:rPr>
        <w:tab/>
        <w:t>Krajského</w:t>
      </w:r>
      <w:r w:rsidRPr="008B4E59">
        <w:rPr>
          <w:color w:val="404040" w:themeColor="text1" w:themeTint="BF"/>
          <w:spacing w:val="66"/>
        </w:rPr>
        <w:t xml:space="preserve"> </w:t>
      </w:r>
      <w:r w:rsidRPr="008B4E59">
        <w:rPr>
          <w:color w:val="404040" w:themeColor="text1" w:themeTint="BF"/>
        </w:rPr>
        <w:t>soudu</w:t>
      </w:r>
      <w:r w:rsidRPr="008B4E59">
        <w:rPr>
          <w:color w:val="404040" w:themeColor="text1" w:themeTint="BF"/>
          <w:spacing w:val="69"/>
        </w:rPr>
        <w:t xml:space="preserve"> </w:t>
      </w:r>
      <w:r w:rsidRPr="008B4E59">
        <w:rPr>
          <w:color w:val="404040" w:themeColor="text1" w:themeTint="BF"/>
        </w:rPr>
        <w:t>v</w:t>
      </w:r>
      <w:r w:rsidRPr="008B4E59">
        <w:rPr>
          <w:color w:val="404040" w:themeColor="text1" w:themeTint="BF"/>
          <w:spacing w:val="-6"/>
        </w:rPr>
        <w:t xml:space="preserve"> </w:t>
      </w:r>
      <w:r w:rsidRPr="008B4E59">
        <w:rPr>
          <w:color w:val="404040" w:themeColor="text1" w:themeTint="BF"/>
        </w:rPr>
        <w:t>Ostravě</w:t>
      </w:r>
      <w:r w:rsidRPr="008B4E59">
        <w:rPr>
          <w:color w:val="404040" w:themeColor="text1" w:themeTint="BF"/>
          <w:spacing w:val="71"/>
        </w:rPr>
        <w:t xml:space="preserve"> </w:t>
      </w:r>
      <w:r w:rsidRPr="008B4E59">
        <w:rPr>
          <w:color w:val="404040" w:themeColor="text1" w:themeTint="BF"/>
        </w:rPr>
        <w:t>pod</w:t>
      </w:r>
      <w:r w:rsidRPr="008B4E59">
        <w:rPr>
          <w:color w:val="404040" w:themeColor="text1" w:themeTint="BF"/>
          <w:spacing w:val="68"/>
        </w:rPr>
        <w:t xml:space="preserve"> </w:t>
      </w:r>
      <w:r w:rsidRPr="008B4E59">
        <w:rPr>
          <w:color w:val="404040" w:themeColor="text1" w:themeTint="BF"/>
        </w:rPr>
        <w:t>spisovou</w:t>
      </w:r>
      <w:r w:rsidRPr="008B4E59">
        <w:rPr>
          <w:color w:val="404040" w:themeColor="text1" w:themeTint="BF"/>
          <w:spacing w:val="69"/>
        </w:rPr>
        <w:t xml:space="preserve"> </w:t>
      </w:r>
      <w:r w:rsidRPr="008B4E59">
        <w:rPr>
          <w:color w:val="404040" w:themeColor="text1" w:themeTint="BF"/>
        </w:rPr>
        <w:t>značkou</w:t>
      </w:r>
      <w:r w:rsidRPr="008B4E59">
        <w:rPr>
          <w:color w:val="404040" w:themeColor="text1" w:themeTint="BF"/>
          <w:spacing w:val="71"/>
        </w:rPr>
        <w:t xml:space="preserve"> </w:t>
      </w:r>
      <w:r w:rsidRPr="008B4E59">
        <w:rPr>
          <w:color w:val="404040" w:themeColor="text1" w:themeTint="BF"/>
          <w:spacing w:val="-10"/>
        </w:rPr>
        <w:t>B</w:t>
      </w:r>
    </w:p>
    <w:p w14:paraId="29D377AA" w14:textId="77777777" w:rsidR="00915F23" w:rsidRPr="008B4E59" w:rsidRDefault="00BC64B5">
      <w:pPr>
        <w:pStyle w:val="Zkladntext"/>
        <w:spacing w:before="1"/>
        <w:ind w:left="3749"/>
        <w:rPr>
          <w:color w:val="404040" w:themeColor="text1" w:themeTint="BF"/>
        </w:rPr>
      </w:pPr>
      <w:r w:rsidRPr="008B4E59">
        <w:rPr>
          <w:color w:val="404040" w:themeColor="text1" w:themeTint="BF"/>
          <w:spacing w:val="-2"/>
        </w:rPr>
        <w:t>11012</w:t>
      </w:r>
    </w:p>
    <w:p w14:paraId="047DC950" w14:textId="77777777" w:rsidR="00E82A35" w:rsidRDefault="00BC64B5">
      <w:pPr>
        <w:pStyle w:val="Zkladntext"/>
        <w:tabs>
          <w:tab w:val="left" w:pos="3749"/>
        </w:tabs>
        <w:spacing w:before="119" w:line="355" w:lineRule="auto"/>
        <w:ind w:left="3749" w:right="4297" w:hanging="3529"/>
        <w:rPr>
          <w:color w:val="404040" w:themeColor="text1" w:themeTint="BF"/>
        </w:rPr>
      </w:pPr>
      <w:r w:rsidRPr="008B4E59">
        <w:rPr>
          <w:color w:val="404040" w:themeColor="text1" w:themeTint="BF"/>
        </w:rPr>
        <w:t>bankovní spojení:</w:t>
      </w:r>
      <w:r w:rsidRPr="008B4E59">
        <w:rPr>
          <w:color w:val="404040" w:themeColor="text1" w:themeTint="BF"/>
        </w:rPr>
        <w:tab/>
      </w:r>
      <w:r w:rsidR="00E82A35">
        <w:rPr>
          <w:color w:val="404040" w:themeColor="text1" w:themeTint="BF"/>
        </w:rPr>
        <w:t>xxx</w:t>
      </w:r>
    </w:p>
    <w:p w14:paraId="30A26F6E" w14:textId="21E4AD23" w:rsidR="00915F23" w:rsidRPr="008B4E59" w:rsidRDefault="00E82A35">
      <w:pPr>
        <w:pStyle w:val="Zkladntext"/>
        <w:tabs>
          <w:tab w:val="left" w:pos="3749"/>
        </w:tabs>
        <w:spacing w:before="119" w:line="355" w:lineRule="auto"/>
        <w:ind w:left="3749" w:right="4297" w:hanging="3529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BC64B5" w:rsidRPr="008B4E59">
        <w:rPr>
          <w:color w:val="404040" w:themeColor="text1" w:themeTint="BF"/>
        </w:rPr>
        <w:t xml:space="preserve">č. ú.: </w:t>
      </w:r>
      <w:r>
        <w:rPr>
          <w:color w:val="404040" w:themeColor="text1" w:themeTint="BF"/>
        </w:rPr>
        <w:t>xxx</w:t>
      </w:r>
    </w:p>
    <w:p w14:paraId="62998B0D" w14:textId="77777777" w:rsidR="00915F23" w:rsidRPr="008B4E59" w:rsidRDefault="00BC64B5">
      <w:pPr>
        <w:spacing w:line="251" w:lineRule="exact"/>
        <w:ind w:left="221"/>
        <w:rPr>
          <w:color w:val="404040" w:themeColor="text1" w:themeTint="BF"/>
        </w:rPr>
      </w:pPr>
      <w:r w:rsidRPr="008B4E59">
        <w:rPr>
          <w:color w:val="404040" w:themeColor="text1" w:themeTint="BF"/>
        </w:rPr>
        <w:t>(dále</w:t>
      </w:r>
      <w:r w:rsidRPr="008B4E59">
        <w:rPr>
          <w:color w:val="404040" w:themeColor="text1" w:themeTint="BF"/>
          <w:spacing w:val="-2"/>
        </w:rPr>
        <w:t xml:space="preserve"> </w:t>
      </w:r>
      <w:r w:rsidRPr="008B4E59">
        <w:rPr>
          <w:color w:val="404040" w:themeColor="text1" w:themeTint="BF"/>
        </w:rPr>
        <w:t>jen</w:t>
      </w:r>
      <w:r w:rsidRPr="008B4E59">
        <w:rPr>
          <w:color w:val="404040" w:themeColor="text1" w:themeTint="BF"/>
          <w:spacing w:val="-7"/>
        </w:rPr>
        <w:t xml:space="preserve"> </w:t>
      </w:r>
      <w:r w:rsidRPr="008B4E59">
        <w:rPr>
          <w:color w:val="404040" w:themeColor="text1" w:themeTint="BF"/>
        </w:rPr>
        <w:t xml:space="preserve">jako </w:t>
      </w:r>
      <w:r w:rsidRPr="008B4E59">
        <w:rPr>
          <w:b/>
          <w:color w:val="404040" w:themeColor="text1" w:themeTint="BF"/>
          <w:spacing w:val="-2"/>
        </w:rPr>
        <w:t>„Dodavatel“</w:t>
      </w:r>
      <w:r w:rsidRPr="008B4E59">
        <w:rPr>
          <w:color w:val="404040" w:themeColor="text1" w:themeTint="BF"/>
          <w:spacing w:val="-2"/>
        </w:rPr>
        <w:t>),</w:t>
      </w:r>
    </w:p>
    <w:p w14:paraId="3778657D" w14:textId="77777777" w:rsidR="00915F23" w:rsidRPr="008B4E59" w:rsidRDefault="00915F23">
      <w:pPr>
        <w:pStyle w:val="Zkladntext"/>
        <w:rPr>
          <w:color w:val="404040" w:themeColor="text1" w:themeTint="BF"/>
        </w:rPr>
      </w:pPr>
    </w:p>
    <w:p w14:paraId="20DA383D" w14:textId="77777777" w:rsidR="00915F23" w:rsidRPr="008B4E59" w:rsidRDefault="00915F23">
      <w:pPr>
        <w:pStyle w:val="Zkladntext"/>
        <w:spacing w:before="151"/>
        <w:rPr>
          <w:color w:val="404040" w:themeColor="text1" w:themeTint="BF"/>
        </w:rPr>
      </w:pPr>
    </w:p>
    <w:p w14:paraId="6A8C5A1F" w14:textId="085842FC" w:rsidR="00A25C89" w:rsidRPr="008B4E59" w:rsidRDefault="00A25C89" w:rsidP="00DC1D19">
      <w:pPr>
        <w:pStyle w:val="Zkladntext"/>
        <w:spacing w:line="312" w:lineRule="auto"/>
        <w:ind w:left="254" w:right="10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Objednatel a Dodavatel (dále též jednotlivě jako „</w:t>
      </w:r>
      <w:r w:rsidRPr="008B4E59">
        <w:rPr>
          <w:b/>
          <w:color w:val="404040" w:themeColor="text1" w:themeTint="BF"/>
        </w:rPr>
        <w:t>Smluvní strana</w:t>
      </w:r>
      <w:r w:rsidRPr="008B4E59">
        <w:rPr>
          <w:color w:val="404040" w:themeColor="text1" w:themeTint="BF"/>
        </w:rPr>
        <w:t>“ a společně jako „</w:t>
      </w:r>
      <w:r w:rsidRPr="008B4E59">
        <w:rPr>
          <w:b/>
          <w:color w:val="404040" w:themeColor="text1" w:themeTint="BF"/>
        </w:rPr>
        <w:t>Smluvní strany</w:t>
      </w:r>
      <w:r w:rsidRPr="008B4E59">
        <w:rPr>
          <w:color w:val="404040" w:themeColor="text1" w:themeTint="BF"/>
        </w:rPr>
        <w:t xml:space="preserve">“) uzavírají </w:t>
      </w:r>
      <w:r w:rsidR="00733F7F" w:rsidRPr="008B4E59">
        <w:rPr>
          <w:color w:val="404040" w:themeColor="text1" w:themeTint="BF"/>
        </w:rPr>
        <w:t xml:space="preserve">v souladu s ustanovením čl. </w:t>
      </w:r>
      <w:r w:rsidR="00504D57" w:rsidRPr="008B4E59">
        <w:rPr>
          <w:color w:val="404040" w:themeColor="text1" w:themeTint="BF"/>
        </w:rPr>
        <w:t xml:space="preserve">4 odst. 4.1 </w:t>
      </w:r>
      <w:r w:rsidR="00451683">
        <w:rPr>
          <w:color w:val="404040" w:themeColor="text1" w:themeTint="BF"/>
        </w:rPr>
        <w:t>S</w:t>
      </w:r>
      <w:r w:rsidR="00504D57" w:rsidRPr="008B4E59">
        <w:rPr>
          <w:color w:val="404040" w:themeColor="text1" w:themeTint="BF"/>
        </w:rPr>
        <w:t xml:space="preserve">mlouvy ve spojení s ustanovením čl. </w:t>
      </w:r>
      <w:r w:rsidR="00435C81" w:rsidRPr="008B4E59">
        <w:rPr>
          <w:color w:val="404040" w:themeColor="text1" w:themeTint="BF"/>
        </w:rPr>
        <w:t xml:space="preserve">17 odst.17.5 </w:t>
      </w:r>
      <w:r w:rsidR="00DC1D19" w:rsidRPr="008B4E59">
        <w:rPr>
          <w:color w:val="404040" w:themeColor="text1" w:themeTint="BF"/>
        </w:rPr>
        <w:t>Rámcové dohody na podporu provozu a rozvoje informačních systémů č. 2023/104 NAKIT</w:t>
      </w:r>
      <w:r w:rsidR="00CD6870" w:rsidRPr="008B4E59">
        <w:rPr>
          <w:color w:val="404040" w:themeColor="text1" w:themeTint="BF"/>
        </w:rPr>
        <w:t xml:space="preserve"> a s </w:t>
      </w:r>
      <w:r w:rsidR="002E642A" w:rsidRPr="008B4E59">
        <w:rPr>
          <w:color w:val="404040" w:themeColor="text1" w:themeTint="BF"/>
        </w:rPr>
        <w:t xml:space="preserve">přihlédnutím k ustanovení čl. 3 odst. 3.3 </w:t>
      </w:r>
      <w:r w:rsidR="00451683">
        <w:rPr>
          <w:color w:val="404040" w:themeColor="text1" w:themeTint="BF"/>
        </w:rPr>
        <w:t>S</w:t>
      </w:r>
      <w:r w:rsidR="00CD6870" w:rsidRPr="008B4E59">
        <w:rPr>
          <w:color w:val="404040" w:themeColor="text1" w:themeTint="BF"/>
        </w:rPr>
        <w:t xml:space="preserve">mlouvy </w:t>
      </w:r>
      <w:r w:rsidRPr="008B4E59">
        <w:rPr>
          <w:color w:val="404040" w:themeColor="text1" w:themeTint="BF"/>
        </w:rPr>
        <w:t>níže uvedeného dne, měsíce a roku tento dodatek č. 1 ke Smlouvě (dále jen „</w:t>
      </w:r>
      <w:r w:rsidRPr="008B4E59">
        <w:rPr>
          <w:b/>
          <w:color w:val="404040" w:themeColor="text1" w:themeTint="BF"/>
        </w:rPr>
        <w:t>Dodatek č. 1</w:t>
      </w:r>
      <w:r w:rsidRPr="008B4E59">
        <w:rPr>
          <w:color w:val="404040" w:themeColor="text1" w:themeTint="BF"/>
        </w:rPr>
        <w:t>”).</w:t>
      </w:r>
    </w:p>
    <w:p w14:paraId="7F540514" w14:textId="77777777" w:rsidR="00915F23" w:rsidRPr="008B4E59" w:rsidRDefault="00915F23">
      <w:pPr>
        <w:rPr>
          <w:color w:val="404040" w:themeColor="text1" w:themeTint="BF"/>
        </w:rPr>
        <w:sectPr w:rsidR="00915F23" w:rsidRPr="008B4E59">
          <w:type w:val="continuous"/>
          <w:pgSz w:w="11910" w:h="16840"/>
          <w:pgMar w:top="2000" w:right="720" w:bottom="980" w:left="1020" w:header="649" w:footer="795" w:gutter="0"/>
          <w:cols w:space="708"/>
        </w:sectPr>
      </w:pPr>
    </w:p>
    <w:p w14:paraId="5553D6B0" w14:textId="3B82D581" w:rsidR="00915F23" w:rsidRPr="008B4E59" w:rsidRDefault="00BC64B5" w:rsidP="00053134">
      <w:pPr>
        <w:pStyle w:val="Odstavecseseznamem"/>
        <w:numPr>
          <w:ilvl w:val="0"/>
          <w:numId w:val="7"/>
        </w:numPr>
        <w:tabs>
          <w:tab w:val="left" w:pos="4325"/>
        </w:tabs>
        <w:spacing w:before="240" w:after="240"/>
        <w:ind w:left="4326" w:hanging="357"/>
        <w:jc w:val="left"/>
        <w:rPr>
          <w:b/>
          <w:color w:val="404040" w:themeColor="text1" w:themeTint="BF"/>
        </w:rPr>
      </w:pPr>
      <w:r w:rsidRPr="008B4E59">
        <w:rPr>
          <w:b/>
          <w:color w:val="404040" w:themeColor="text1" w:themeTint="BF"/>
        </w:rPr>
        <w:lastRenderedPageBreak/>
        <w:t>Předmět</w:t>
      </w:r>
      <w:r w:rsidRPr="008B4E59">
        <w:rPr>
          <w:b/>
          <w:color w:val="404040" w:themeColor="text1" w:themeTint="BF"/>
          <w:spacing w:val="-2"/>
        </w:rPr>
        <w:t xml:space="preserve"> </w:t>
      </w:r>
      <w:r w:rsidR="001B1761" w:rsidRPr="008B4E59">
        <w:rPr>
          <w:b/>
          <w:color w:val="404040" w:themeColor="text1" w:themeTint="BF"/>
          <w:spacing w:val="-2"/>
        </w:rPr>
        <w:t>Dodatku č. 1</w:t>
      </w:r>
    </w:p>
    <w:p w14:paraId="683F1D8D" w14:textId="6DCDC7F4" w:rsidR="00C04DCD" w:rsidRPr="008B4E59" w:rsidRDefault="00BC64B5" w:rsidP="000676B6">
      <w:pPr>
        <w:pStyle w:val="Odstavecseseznamem"/>
        <w:numPr>
          <w:ilvl w:val="1"/>
          <w:numId w:val="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bookmarkStart w:id="0" w:name="_Hlk189646612"/>
      <w:r w:rsidRPr="008B4E59">
        <w:rPr>
          <w:color w:val="404040" w:themeColor="text1" w:themeTint="BF"/>
        </w:rPr>
        <w:t xml:space="preserve">Předmětem </w:t>
      </w:r>
      <w:r w:rsidR="00CD6870" w:rsidRPr="008B4E59">
        <w:rPr>
          <w:color w:val="404040" w:themeColor="text1" w:themeTint="BF"/>
        </w:rPr>
        <w:t xml:space="preserve">Dodatku č. 1 je </w:t>
      </w:r>
      <w:r w:rsidR="00C65224" w:rsidRPr="008B4E59">
        <w:rPr>
          <w:color w:val="404040" w:themeColor="text1" w:themeTint="BF"/>
        </w:rPr>
        <w:t xml:space="preserve">úprava </w:t>
      </w:r>
      <w:r w:rsidR="00AB16E6" w:rsidRPr="008B4E59">
        <w:rPr>
          <w:color w:val="404040" w:themeColor="text1" w:themeTint="BF"/>
        </w:rPr>
        <w:t>harmonogramu realizace Plnění</w:t>
      </w:r>
      <w:r w:rsidR="00E2120E" w:rsidRPr="008B4E59">
        <w:rPr>
          <w:color w:val="404040" w:themeColor="text1" w:themeTint="BF"/>
        </w:rPr>
        <w:t xml:space="preserve"> a </w:t>
      </w:r>
      <w:r w:rsidR="00323841" w:rsidRPr="008B4E59">
        <w:rPr>
          <w:color w:val="404040" w:themeColor="text1" w:themeTint="BF"/>
        </w:rPr>
        <w:t>s tím související</w:t>
      </w:r>
      <w:r w:rsidR="00C04DCD" w:rsidRPr="008B4E59">
        <w:rPr>
          <w:color w:val="404040" w:themeColor="text1" w:themeTint="BF"/>
        </w:rPr>
        <w:t>:</w:t>
      </w:r>
    </w:p>
    <w:p w14:paraId="3AE96A7D" w14:textId="708C9BEC" w:rsidR="00C04DCD" w:rsidRPr="008B4E59" w:rsidRDefault="00E2120E" w:rsidP="00C04DCD">
      <w:pPr>
        <w:pStyle w:val="Odstavecseseznamem"/>
        <w:numPr>
          <w:ilvl w:val="0"/>
          <w:numId w:val="2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vyjmutí</w:t>
      </w:r>
      <w:r w:rsidR="002874B6" w:rsidRPr="008B4E59">
        <w:rPr>
          <w:color w:val="404040" w:themeColor="text1" w:themeTint="BF"/>
        </w:rPr>
        <w:t xml:space="preserve"> </w:t>
      </w:r>
      <w:r w:rsidR="00954F33" w:rsidRPr="008B4E59">
        <w:rPr>
          <w:color w:val="404040" w:themeColor="text1" w:themeTint="BF"/>
        </w:rPr>
        <w:t>některých</w:t>
      </w:r>
      <w:r w:rsidRPr="008B4E59">
        <w:rPr>
          <w:color w:val="404040" w:themeColor="text1" w:themeTint="BF"/>
        </w:rPr>
        <w:t xml:space="preserve"> částí tvořících </w:t>
      </w:r>
      <w:r w:rsidR="00E160DD" w:rsidRPr="008B4E59">
        <w:rPr>
          <w:color w:val="404040" w:themeColor="text1" w:themeTint="BF"/>
        </w:rPr>
        <w:t>d</w:t>
      </w:r>
      <w:r w:rsidR="0022680F" w:rsidRPr="008B4E59">
        <w:rPr>
          <w:color w:val="404040" w:themeColor="text1" w:themeTint="BF"/>
        </w:rPr>
        <w:t xml:space="preserve">ílčí část Plnění I a jejich přesunutí do </w:t>
      </w:r>
      <w:r w:rsidR="006B5404" w:rsidRPr="008B4E59">
        <w:rPr>
          <w:color w:val="404040" w:themeColor="text1" w:themeTint="BF"/>
        </w:rPr>
        <w:t xml:space="preserve">nově vložené </w:t>
      </w:r>
      <w:r w:rsidR="00061E6A" w:rsidRPr="008B4E59">
        <w:rPr>
          <w:color w:val="404040" w:themeColor="text1" w:themeTint="BF"/>
        </w:rPr>
        <w:t>d</w:t>
      </w:r>
      <w:r w:rsidR="0022680F" w:rsidRPr="008B4E59">
        <w:rPr>
          <w:color w:val="404040" w:themeColor="text1" w:themeTint="BF"/>
        </w:rPr>
        <w:t>ílčí části Plnění II</w:t>
      </w:r>
      <w:r w:rsidR="00B806C9" w:rsidRPr="008B4E59">
        <w:rPr>
          <w:color w:val="404040" w:themeColor="text1" w:themeTint="BF"/>
        </w:rPr>
        <w:t xml:space="preserve"> a </w:t>
      </w:r>
    </w:p>
    <w:p w14:paraId="390462F2" w14:textId="77777777" w:rsidR="005C5256" w:rsidRPr="008B4E59" w:rsidRDefault="00B806C9" w:rsidP="00C04DCD">
      <w:pPr>
        <w:pStyle w:val="Odstavecseseznamem"/>
        <w:numPr>
          <w:ilvl w:val="0"/>
          <w:numId w:val="2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přesunutí jedné aktivity do </w:t>
      </w:r>
      <w:r w:rsidR="00E160DD" w:rsidRPr="008B4E59">
        <w:rPr>
          <w:color w:val="404040" w:themeColor="text1" w:themeTint="BF"/>
        </w:rPr>
        <w:t>d</w:t>
      </w:r>
      <w:r w:rsidRPr="008B4E59">
        <w:rPr>
          <w:color w:val="404040" w:themeColor="text1" w:themeTint="BF"/>
        </w:rPr>
        <w:t>ílčí části Plnění I</w:t>
      </w:r>
      <w:r w:rsidR="00D646AE" w:rsidRPr="008B4E59">
        <w:rPr>
          <w:color w:val="404040" w:themeColor="text1" w:themeTint="BF"/>
        </w:rPr>
        <w:t>V</w:t>
      </w:r>
      <w:r w:rsidR="0022680F" w:rsidRPr="008B4E59">
        <w:rPr>
          <w:color w:val="404040" w:themeColor="text1" w:themeTint="BF"/>
        </w:rPr>
        <w:t xml:space="preserve"> a</w:t>
      </w:r>
      <w:r w:rsidR="002874B6" w:rsidRPr="008B4E59">
        <w:rPr>
          <w:color w:val="404040" w:themeColor="text1" w:themeTint="BF"/>
        </w:rPr>
        <w:t xml:space="preserve"> </w:t>
      </w:r>
      <w:r w:rsidR="00D529CE" w:rsidRPr="008B4E59">
        <w:rPr>
          <w:color w:val="404040" w:themeColor="text1" w:themeTint="BF"/>
        </w:rPr>
        <w:t>s tím související</w:t>
      </w:r>
      <w:r w:rsidR="00861FE4" w:rsidRPr="008B4E59">
        <w:rPr>
          <w:color w:val="404040" w:themeColor="text1" w:themeTint="BF"/>
        </w:rPr>
        <w:t xml:space="preserve"> odpovídající</w:t>
      </w:r>
      <w:r w:rsidR="002874B6" w:rsidRPr="008B4E59">
        <w:rPr>
          <w:color w:val="404040" w:themeColor="text1" w:themeTint="BF"/>
        </w:rPr>
        <w:t xml:space="preserve"> </w:t>
      </w:r>
      <w:r w:rsidR="00AB7CF3" w:rsidRPr="008B4E59">
        <w:rPr>
          <w:color w:val="404040" w:themeColor="text1" w:themeTint="BF"/>
        </w:rPr>
        <w:t xml:space="preserve">úprava </w:t>
      </w:r>
      <w:r w:rsidR="0022680F" w:rsidRPr="008B4E59">
        <w:rPr>
          <w:color w:val="404040" w:themeColor="text1" w:themeTint="BF"/>
        </w:rPr>
        <w:t>term</w:t>
      </w:r>
      <w:r w:rsidR="002874B6" w:rsidRPr="008B4E59">
        <w:rPr>
          <w:color w:val="404040" w:themeColor="text1" w:themeTint="BF"/>
        </w:rPr>
        <w:t>ín</w:t>
      </w:r>
      <w:r w:rsidR="00A114EB" w:rsidRPr="008B4E59">
        <w:rPr>
          <w:color w:val="404040" w:themeColor="text1" w:themeTint="BF"/>
        </w:rPr>
        <w:t xml:space="preserve">ů </w:t>
      </w:r>
      <w:r w:rsidR="002874B6" w:rsidRPr="008B4E59">
        <w:rPr>
          <w:color w:val="404040" w:themeColor="text1" w:themeTint="BF"/>
        </w:rPr>
        <w:t xml:space="preserve">dodání </w:t>
      </w:r>
      <w:r w:rsidR="00E160DD" w:rsidRPr="008B4E59">
        <w:rPr>
          <w:color w:val="404040" w:themeColor="text1" w:themeTint="BF"/>
        </w:rPr>
        <w:t>d</w:t>
      </w:r>
      <w:r w:rsidR="002874B6" w:rsidRPr="008B4E59">
        <w:rPr>
          <w:color w:val="404040" w:themeColor="text1" w:themeTint="BF"/>
        </w:rPr>
        <w:t>ílčí část</w:t>
      </w:r>
      <w:r w:rsidR="0053131F" w:rsidRPr="008B4E59">
        <w:rPr>
          <w:color w:val="404040" w:themeColor="text1" w:themeTint="BF"/>
        </w:rPr>
        <w:t>í</w:t>
      </w:r>
      <w:r w:rsidR="002874B6" w:rsidRPr="008B4E59">
        <w:rPr>
          <w:color w:val="404040" w:themeColor="text1" w:themeTint="BF"/>
        </w:rPr>
        <w:t xml:space="preserve"> </w:t>
      </w:r>
      <w:r w:rsidR="00E2120E" w:rsidRPr="008B4E59">
        <w:rPr>
          <w:color w:val="404040" w:themeColor="text1" w:themeTint="BF"/>
        </w:rPr>
        <w:t>Plnění</w:t>
      </w:r>
      <w:r w:rsidR="00A114EB" w:rsidRPr="008B4E59">
        <w:rPr>
          <w:color w:val="404040" w:themeColor="text1" w:themeTint="BF"/>
        </w:rPr>
        <w:t xml:space="preserve"> I </w:t>
      </w:r>
      <w:r w:rsidR="00F6262E" w:rsidRPr="008B4E59">
        <w:rPr>
          <w:color w:val="404040" w:themeColor="text1" w:themeTint="BF"/>
        </w:rPr>
        <w:t>a</w:t>
      </w:r>
      <w:r w:rsidR="00A114EB" w:rsidRPr="008B4E59">
        <w:rPr>
          <w:color w:val="404040" w:themeColor="text1" w:themeTint="BF"/>
        </w:rPr>
        <w:t xml:space="preserve"> </w:t>
      </w:r>
      <w:r w:rsidR="00F6262E" w:rsidRPr="008B4E59">
        <w:rPr>
          <w:color w:val="404040" w:themeColor="text1" w:themeTint="BF"/>
        </w:rPr>
        <w:t>I</w:t>
      </w:r>
      <w:r w:rsidR="00A114EB" w:rsidRPr="008B4E59">
        <w:rPr>
          <w:color w:val="404040" w:themeColor="text1" w:themeTint="BF"/>
        </w:rPr>
        <w:t>II</w:t>
      </w:r>
      <w:r w:rsidR="00F6262E" w:rsidRPr="008B4E59">
        <w:rPr>
          <w:color w:val="404040" w:themeColor="text1" w:themeTint="BF"/>
        </w:rPr>
        <w:t xml:space="preserve"> a </w:t>
      </w:r>
    </w:p>
    <w:p w14:paraId="1A8822BB" w14:textId="77777777" w:rsidR="00ED3DB7" w:rsidRPr="008B4E59" w:rsidRDefault="00F6262E" w:rsidP="00C04DCD">
      <w:pPr>
        <w:pStyle w:val="Odstavecseseznamem"/>
        <w:numPr>
          <w:ilvl w:val="0"/>
          <w:numId w:val="2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stanovení termínu pro doplněnou </w:t>
      </w:r>
      <w:r w:rsidR="00E160DD" w:rsidRPr="008B4E59">
        <w:rPr>
          <w:color w:val="404040" w:themeColor="text1" w:themeTint="BF"/>
        </w:rPr>
        <w:t>d</w:t>
      </w:r>
      <w:r w:rsidRPr="008B4E59">
        <w:rPr>
          <w:color w:val="404040" w:themeColor="text1" w:themeTint="BF"/>
        </w:rPr>
        <w:t>ílčí část Plnění II</w:t>
      </w:r>
      <w:r w:rsidR="009A1A65" w:rsidRPr="008B4E59">
        <w:rPr>
          <w:color w:val="404040" w:themeColor="text1" w:themeTint="BF"/>
        </w:rPr>
        <w:t xml:space="preserve">. </w:t>
      </w:r>
    </w:p>
    <w:p w14:paraId="0EF508FC" w14:textId="5AAC2EB1" w:rsidR="00F22AAA" w:rsidRPr="009A0E5A" w:rsidRDefault="009A1A65" w:rsidP="009A0E5A">
      <w:pPr>
        <w:tabs>
          <w:tab w:val="left" w:pos="679"/>
        </w:tabs>
        <w:spacing w:before="196" w:line="312" w:lineRule="auto"/>
        <w:ind w:left="679" w:right="122"/>
        <w:jc w:val="both"/>
        <w:rPr>
          <w:color w:val="404040" w:themeColor="text1" w:themeTint="BF"/>
        </w:rPr>
      </w:pPr>
      <w:r w:rsidRPr="009A0E5A">
        <w:rPr>
          <w:color w:val="404040" w:themeColor="text1" w:themeTint="BF"/>
        </w:rPr>
        <w:t xml:space="preserve">V důsledku </w:t>
      </w:r>
      <w:r w:rsidR="00B806C9" w:rsidRPr="009A0E5A">
        <w:rPr>
          <w:color w:val="404040" w:themeColor="text1" w:themeTint="BF"/>
        </w:rPr>
        <w:t xml:space="preserve">doplnění </w:t>
      </w:r>
      <w:r w:rsidR="00434630" w:rsidRPr="009A0E5A">
        <w:rPr>
          <w:color w:val="404040" w:themeColor="text1" w:themeTint="BF"/>
        </w:rPr>
        <w:t xml:space="preserve">nové </w:t>
      </w:r>
      <w:r w:rsidR="00E160DD" w:rsidRPr="009A0E5A">
        <w:rPr>
          <w:color w:val="404040" w:themeColor="text1" w:themeTint="BF"/>
        </w:rPr>
        <w:t>d</w:t>
      </w:r>
      <w:r w:rsidR="00434630" w:rsidRPr="009A0E5A">
        <w:rPr>
          <w:color w:val="404040" w:themeColor="text1" w:themeTint="BF"/>
        </w:rPr>
        <w:t>ílčí části Plnění II</w:t>
      </w:r>
      <w:r w:rsidR="0009754D" w:rsidRPr="009A0E5A">
        <w:rPr>
          <w:color w:val="404040" w:themeColor="text1" w:themeTint="BF"/>
        </w:rPr>
        <w:t xml:space="preserve"> pak</w:t>
      </w:r>
      <w:r w:rsidR="00434630" w:rsidRPr="009A0E5A">
        <w:rPr>
          <w:color w:val="404040" w:themeColor="text1" w:themeTint="BF"/>
        </w:rPr>
        <w:t xml:space="preserve"> </w:t>
      </w:r>
      <w:r w:rsidRPr="009A0E5A">
        <w:rPr>
          <w:color w:val="404040" w:themeColor="text1" w:themeTint="BF"/>
        </w:rPr>
        <w:t>dochází k celkovému posunu</w:t>
      </w:r>
      <w:r w:rsidR="00434630" w:rsidRPr="009A0E5A">
        <w:rPr>
          <w:color w:val="404040" w:themeColor="text1" w:themeTint="BF"/>
        </w:rPr>
        <w:t xml:space="preserve"> dalších</w:t>
      </w:r>
      <w:r w:rsidRPr="009A0E5A">
        <w:rPr>
          <w:color w:val="404040" w:themeColor="text1" w:themeTint="BF"/>
        </w:rPr>
        <w:t xml:space="preserve"> </w:t>
      </w:r>
      <w:r w:rsidR="00E160DD" w:rsidRPr="009A0E5A">
        <w:rPr>
          <w:color w:val="404040" w:themeColor="text1" w:themeTint="BF"/>
        </w:rPr>
        <w:t>d</w:t>
      </w:r>
      <w:r w:rsidRPr="009A0E5A">
        <w:rPr>
          <w:color w:val="404040" w:themeColor="text1" w:themeTint="BF"/>
        </w:rPr>
        <w:t xml:space="preserve">ílčích částí Plnění </w:t>
      </w:r>
      <w:r w:rsidR="0009680E" w:rsidRPr="009A0E5A">
        <w:rPr>
          <w:color w:val="404040" w:themeColor="text1" w:themeTint="BF"/>
        </w:rPr>
        <w:t>a jejich pře</w:t>
      </w:r>
      <w:r w:rsidRPr="009A0E5A">
        <w:rPr>
          <w:color w:val="404040" w:themeColor="text1" w:themeTint="BF"/>
        </w:rPr>
        <w:t>číslovan</w:t>
      </w:r>
      <w:r w:rsidR="0009680E" w:rsidRPr="009A0E5A">
        <w:rPr>
          <w:color w:val="404040" w:themeColor="text1" w:themeTint="BF"/>
        </w:rPr>
        <w:t>í z označení</w:t>
      </w:r>
      <w:r w:rsidRPr="009A0E5A">
        <w:rPr>
          <w:color w:val="404040" w:themeColor="text1" w:themeTint="BF"/>
        </w:rPr>
        <w:t xml:space="preserve"> II – IV na III </w:t>
      </w:r>
      <w:r w:rsidR="0009680E" w:rsidRPr="009A0E5A">
        <w:rPr>
          <w:color w:val="404040" w:themeColor="text1" w:themeTint="BF"/>
        </w:rPr>
        <w:t>–</w:t>
      </w:r>
      <w:r w:rsidRPr="009A0E5A">
        <w:rPr>
          <w:color w:val="404040" w:themeColor="text1" w:themeTint="BF"/>
        </w:rPr>
        <w:t xml:space="preserve"> V</w:t>
      </w:r>
      <w:r w:rsidR="0009680E" w:rsidRPr="009A0E5A">
        <w:rPr>
          <w:color w:val="404040" w:themeColor="text1" w:themeTint="BF"/>
        </w:rPr>
        <w:t xml:space="preserve">. </w:t>
      </w:r>
      <w:r w:rsidR="00721E07" w:rsidRPr="009A0E5A">
        <w:rPr>
          <w:color w:val="404040" w:themeColor="text1" w:themeTint="BF"/>
        </w:rPr>
        <w:t xml:space="preserve">Rozsah Plnění v rámci harmonogramu zůstává nezměněn. </w:t>
      </w:r>
      <w:r w:rsidR="00807E69" w:rsidRPr="009A0E5A">
        <w:rPr>
          <w:color w:val="404040" w:themeColor="text1" w:themeTint="BF"/>
        </w:rPr>
        <w:t>K uvedeným změnám Smluvní strany přistupují</w:t>
      </w:r>
      <w:r w:rsidR="002B3509" w:rsidRPr="009A0E5A">
        <w:rPr>
          <w:color w:val="404040" w:themeColor="text1" w:themeTint="BF"/>
        </w:rPr>
        <w:t xml:space="preserve"> </w:t>
      </w:r>
      <w:r w:rsidR="00807E69" w:rsidRPr="009A0E5A">
        <w:rPr>
          <w:color w:val="404040" w:themeColor="text1" w:themeTint="BF"/>
        </w:rPr>
        <w:t>ve vzájemné shodě a</w:t>
      </w:r>
      <w:r w:rsidR="00A114EB" w:rsidRPr="009A0E5A">
        <w:rPr>
          <w:color w:val="404040" w:themeColor="text1" w:themeTint="BF"/>
        </w:rPr>
        <w:t xml:space="preserve"> </w:t>
      </w:r>
      <w:r w:rsidR="00D949F3" w:rsidRPr="009A0E5A">
        <w:rPr>
          <w:color w:val="404040" w:themeColor="text1" w:themeTint="BF"/>
        </w:rPr>
        <w:t xml:space="preserve">z důvodu absence připravenosti </w:t>
      </w:r>
      <w:r w:rsidR="002F323F" w:rsidRPr="009A0E5A">
        <w:rPr>
          <w:color w:val="404040" w:themeColor="text1" w:themeTint="BF"/>
        </w:rPr>
        <w:t xml:space="preserve">všech </w:t>
      </w:r>
      <w:r w:rsidR="00D949F3" w:rsidRPr="009A0E5A">
        <w:rPr>
          <w:color w:val="404040" w:themeColor="text1" w:themeTint="BF"/>
        </w:rPr>
        <w:t xml:space="preserve">podmínek pro realizaci </w:t>
      </w:r>
      <w:r w:rsidR="00E160DD" w:rsidRPr="009A0E5A">
        <w:rPr>
          <w:color w:val="404040" w:themeColor="text1" w:themeTint="BF"/>
        </w:rPr>
        <w:t>d</w:t>
      </w:r>
      <w:r w:rsidR="003C389F" w:rsidRPr="009A0E5A">
        <w:rPr>
          <w:color w:val="404040" w:themeColor="text1" w:themeTint="BF"/>
        </w:rPr>
        <w:t>ílčích částí Plnění I</w:t>
      </w:r>
      <w:r w:rsidR="00602BD5" w:rsidRPr="009A0E5A">
        <w:rPr>
          <w:color w:val="404040" w:themeColor="text1" w:themeTint="BF"/>
        </w:rPr>
        <w:t xml:space="preserve"> a</w:t>
      </w:r>
      <w:r w:rsidR="003C389F" w:rsidRPr="009A0E5A">
        <w:rPr>
          <w:color w:val="404040" w:themeColor="text1" w:themeTint="BF"/>
        </w:rPr>
        <w:t xml:space="preserve"> II</w:t>
      </w:r>
      <w:r w:rsidR="00633268" w:rsidRPr="009A0E5A">
        <w:rPr>
          <w:color w:val="404040" w:themeColor="text1" w:themeTint="BF"/>
        </w:rPr>
        <w:t xml:space="preserve"> </w:t>
      </w:r>
      <w:r w:rsidR="00602BD5" w:rsidRPr="009A0E5A">
        <w:rPr>
          <w:color w:val="404040" w:themeColor="text1" w:themeTint="BF"/>
        </w:rPr>
        <w:t xml:space="preserve">(nově částí I – </w:t>
      </w:r>
      <w:r w:rsidR="00633268" w:rsidRPr="009A0E5A">
        <w:rPr>
          <w:color w:val="404040" w:themeColor="text1" w:themeTint="BF"/>
        </w:rPr>
        <w:t>III</w:t>
      </w:r>
      <w:r w:rsidR="00602BD5" w:rsidRPr="009A0E5A">
        <w:rPr>
          <w:color w:val="404040" w:themeColor="text1" w:themeTint="BF"/>
        </w:rPr>
        <w:t>)</w:t>
      </w:r>
      <w:r w:rsidR="003C389F" w:rsidRPr="009A0E5A">
        <w:rPr>
          <w:color w:val="404040" w:themeColor="text1" w:themeTint="BF"/>
        </w:rPr>
        <w:t xml:space="preserve"> v</w:t>
      </w:r>
      <w:r w:rsidR="00FE20C4" w:rsidRPr="009A0E5A">
        <w:rPr>
          <w:color w:val="404040" w:themeColor="text1" w:themeTint="BF"/>
        </w:rPr>
        <w:t xml:space="preserve"> požadovaném </w:t>
      </w:r>
      <w:r w:rsidR="003C389F" w:rsidRPr="009A0E5A">
        <w:rPr>
          <w:color w:val="404040" w:themeColor="text1" w:themeTint="BF"/>
        </w:rPr>
        <w:t xml:space="preserve">rozsahu dle harmonogramu a Přílohy č. 1 Dílčí smlouvy </w:t>
      </w:r>
      <w:r w:rsidR="00D949F3" w:rsidRPr="009A0E5A">
        <w:rPr>
          <w:color w:val="404040" w:themeColor="text1" w:themeTint="BF"/>
        </w:rPr>
        <w:t xml:space="preserve">na straně Objednatele. </w:t>
      </w:r>
      <w:r w:rsidR="00E2120E" w:rsidRPr="009A0E5A">
        <w:rPr>
          <w:color w:val="404040" w:themeColor="text1" w:themeTint="BF"/>
        </w:rPr>
        <w:t xml:space="preserve">  </w:t>
      </w:r>
      <w:r w:rsidR="00721E07" w:rsidRPr="009A0E5A">
        <w:rPr>
          <w:color w:val="404040" w:themeColor="text1" w:themeTint="BF"/>
        </w:rPr>
        <w:t xml:space="preserve"> </w:t>
      </w:r>
    </w:p>
    <w:p w14:paraId="20D7ABD3" w14:textId="5D46AD9C" w:rsidR="00426957" w:rsidRPr="008B4E59" w:rsidRDefault="00F22AAA" w:rsidP="00597006">
      <w:pPr>
        <w:pStyle w:val="Odstavecseseznamem"/>
        <w:numPr>
          <w:ilvl w:val="1"/>
          <w:numId w:val="7"/>
        </w:numPr>
        <w:tabs>
          <w:tab w:val="left" w:pos="679"/>
        </w:tabs>
        <w:spacing w:before="196" w:after="120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Smluvní strany se proto dohodly, že ustanovení čl. 3 odst. 3.3 </w:t>
      </w:r>
      <w:r w:rsidR="00E342BE">
        <w:rPr>
          <w:color w:val="404040" w:themeColor="text1" w:themeTint="BF"/>
        </w:rPr>
        <w:t>S</w:t>
      </w:r>
      <w:r w:rsidR="00E2120E" w:rsidRPr="008B4E59">
        <w:rPr>
          <w:color w:val="404040" w:themeColor="text1" w:themeTint="BF"/>
        </w:rPr>
        <w:t xml:space="preserve">mlouvy se </w:t>
      </w:r>
      <w:r w:rsidR="00B66208" w:rsidRPr="008B4E59">
        <w:rPr>
          <w:color w:val="404040" w:themeColor="text1" w:themeTint="BF"/>
        </w:rPr>
        <w:t xml:space="preserve">celé ruší a </w:t>
      </w:r>
      <w:r w:rsidR="007112F6" w:rsidRPr="008B4E59">
        <w:rPr>
          <w:color w:val="404040" w:themeColor="text1" w:themeTint="BF"/>
        </w:rPr>
        <w:t>nahr</w:t>
      </w:r>
      <w:r w:rsidR="004C0C40" w:rsidRPr="008B4E59">
        <w:rPr>
          <w:color w:val="404040" w:themeColor="text1" w:themeTint="BF"/>
        </w:rPr>
        <w:t>a</w:t>
      </w:r>
      <w:r w:rsidR="007112F6" w:rsidRPr="008B4E59">
        <w:rPr>
          <w:color w:val="404040" w:themeColor="text1" w:themeTint="BF"/>
        </w:rPr>
        <w:t>zuje</w:t>
      </w:r>
      <w:r w:rsidR="004C0C40" w:rsidRPr="008B4E59">
        <w:rPr>
          <w:color w:val="404040" w:themeColor="text1" w:themeTint="BF"/>
        </w:rPr>
        <w:t xml:space="preserve"> </w:t>
      </w:r>
      <w:r w:rsidR="0001060A" w:rsidRPr="008B4E59">
        <w:rPr>
          <w:color w:val="404040" w:themeColor="text1" w:themeTint="BF"/>
        </w:rPr>
        <w:t xml:space="preserve">se </w:t>
      </w:r>
      <w:r w:rsidR="00BE5E47" w:rsidRPr="008B4E59">
        <w:rPr>
          <w:color w:val="404040" w:themeColor="text1" w:themeTint="BF"/>
        </w:rPr>
        <w:t xml:space="preserve">následujícím </w:t>
      </w:r>
      <w:r w:rsidR="004C0C40" w:rsidRPr="008B4E59">
        <w:rPr>
          <w:color w:val="404040" w:themeColor="text1" w:themeTint="BF"/>
        </w:rPr>
        <w:t>novým zněním</w:t>
      </w:r>
      <w:r w:rsidR="00183FC7" w:rsidRPr="008B4E59">
        <w:rPr>
          <w:color w:val="404040" w:themeColor="text1" w:themeTint="BF"/>
        </w:rPr>
        <w:t>:</w:t>
      </w:r>
    </w:p>
    <w:p w14:paraId="4F281348" w14:textId="10F8C415" w:rsidR="00273DB2" w:rsidRPr="008B4E59" w:rsidRDefault="00E312DC" w:rsidP="00597006">
      <w:pPr>
        <w:tabs>
          <w:tab w:val="left" w:pos="1418"/>
          <w:tab w:val="left" w:pos="1701"/>
        </w:tabs>
        <w:spacing w:after="120" w:line="312" w:lineRule="auto"/>
        <w:ind w:left="709" w:right="125"/>
        <w:jc w:val="both"/>
        <w:rPr>
          <w:i/>
          <w:iCs/>
          <w:color w:val="404040" w:themeColor="text1" w:themeTint="BF"/>
        </w:rPr>
      </w:pPr>
      <w:r w:rsidRPr="008B4E59">
        <w:rPr>
          <w:color w:val="404040" w:themeColor="text1" w:themeTint="BF"/>
        </w:rPr>
        <w:t>„</w:t>
      </w:r>
      <w:r w:rsidRPr="008B4E59">
        <w:rPr>
          <w:i/>
          <w:iCs/>
          <w:color w:val="404040" w:themeColor="text1" w:themeTint="BF"/>
        </w:rPr>
        <w:t xml:space="preserve">3.3 </w:t>
      </w:r>
      <w:r w:rsidR="00834DA9" w:rsidRPr="008B4E59">
        <w:rPr>
          <w:i/>
          <w:iCs/>
          <w:color w:val="404040" w:themeColor="text1" w:themeTint="BF"/>
        </w:rPr>
        <w:tab/>
      </w:r>
      <w:r w:rsidR="00273DB2" w:rsidRPr="008B4E59">
        <w:rPr>
          <w:i/>
          <w:iCs/>
          <w:color w:val="404040" w:themeColor="text1" w:themeTint="BF"/>
        </w:rPr>
        <w:t>Harmonogram realizace Plnění dle čl. 1 odst. 1.1 této Smlouvy je následující:</w:t>
      </w:r>
    </w:p>
    <w:p w14:paraId="3BF47036" w14:textId="56033D9B" w:rsidR="0033030B" w:rsidRPr="008B4E59" w:rsidRDefault="00273DB2" w:rsidP="00597006">
      <w:pPr>
        <w:tabs>
          <w:tab w:val="left" w:pos="1418"/>
          <w:tab w:val="left" w:pos="1701"/>
        </w:tabs>
        <w:spacing w:after="120" w:line="312" w:lineRule="auto"/>
        <w:ind w:left="709" w:right="125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ab/>
      </w:r>
      <w:r w:rsidR="00E312DC" w:rsidRPr="008B4E59">
        <w:rPr>
          <w:i/>
          <w:iCs/>
          <w:color w:val="404040" w:themeColor="text1" w:themeTint="BF"/>
        </w:rPr>
        <w:t>●</w:t>
      </w:r>
      <w:r w:rsidR="00834DA9" w:rsidRPr="008B4E59">
        <w:rPr>
          <w:i/>
          <w:iCs/>
          <w:color w:val="404040" w:themeColor="text1" w:themeTint="BF"/>
        </w:rPr>
        <w:tab/>
      </w:r>
      <w:r w:rsidR="0033030B" w:rsidRPr="008B4E59">
        <w:rPr>
          <w:i/>
          <w:iCs/>
          <w:color w:val="404040" w:themeColor="text1" w:themeTint="BF"/>
        </w:rPr>
        <w:t xml:space="preserve">Dílčí část Plnění I – do </w:t>
      </w:r>
      <w:r w:rsidR="00183FC7" w:rsidRPr="008B4E59">
        <w:rPr>
          <w:i/>
          <w:iCs/>
          <w:color w:val="404040" w:themeColor="text1" w:themeTint="BF"/>
        </w:rPr>
        <w:t>28</w:t>
      </w:r>
      <w:r w:rsidR="0033030B" w:rsidRPr="008B4E59">
        <w:rPr>
          <w:i/>
          <w:iCs/>
          <w:color w:val="404040" w:themeColor="text1" w:themeTint="BF"/>
        </w:rPr>
        <w:t xml:space="preserve">. 5. 2025  </w:t>
      </w:r>
    </w:p>
    <w:p w14:paraId="2B81A8BA" w14:textId="2C1D687A" w:rsidR="0033030B" w:rsidRPr="008B4E59" w:rsidRDefault="0033030B" w:rsidP="00597006">
      <w:pPr>
        <w:pStyle w:val="Odstavecseseznamem"/>
        <w:numPr>
          <w:ilvl w:val="0"/>
          <w:numId w:val="22"/>
        </w:numPr>
        <w:tabs>
          <w:tab w:val="left" w:pos="679"/>
        </w:tabs>
        <w:spacing w:after="120" w:line="312" w:lineRule="auto"/>
        <w:ind w:right="125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 xml:space="preserve">příprava testovacího prostředí Control Desku, včetně API a CMDB </w:t>
      </w:r>
    </w:p>
    <w:p w14:paraId="2832AAA2" w14:textId="6D1C4A7F" w:rsidR="0033030B" w:rsidRPr="008B4E59" w:rsidRDefault="00834DA9" w:rsidP="00597006">
      <w:pPr>
        <w:pStyle w:val="Odstavecseseznamem"/>
        <w:tabs>
          <w:tab w:val="left" w:pos="1701"/>
        </w:tabs>
        <w:spacing w:after="120" w:line="312" w:lineRule="auto"/>
        <w:ind w:left="1418" w:right="125" w:firstLine="0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●</w:t>
      </w:r>
      <w:r w:rsidRPr="008B4E59">
        <w:rPr>
          <w:i/>
          <w:iCs/>
          <w:color w:val="404040" w:themeColor="text1" w:themeTint="BF"/>
        </w:rPr>
        <w:tab/>
      </w:r>
      <w:r w:rsidR="0033030B" w:rsidRPr="008B4E59">
        <w:rPr>
          <w:i/>
          <w:iCs/>
          <w:color w:val="404040" w:themeColor="text1" w:themeTint="BF"/>
        </w:rPr>
        <w:t>Dílčí část Plnění I</w:t>
      </w:r>
      <w:r w:rsidR="00DC47DE" w:rsidRPr="008B4E59">
        <w:rPr>
          <w:i/>
          <w:iCs/>
          <w:color w:val="404040" w:themeColor="text1" w:themeTint="BF"/>
        </w:rPr>
        <w:t>I</w:t>
      </w:r>
      <w:r w:rsidR="0033030B" w:rsidRPr="008B4E59">
        <w:rPr>
          <w:i/>
          <w:iCs/>
          <w:color w:val="404040" w:themeColor="text1" w:themeTint="BF"/>
        </w:rPr>
        <w:t xml:space="preserve"> – do </w:t>
      </w:r>
      <w:r w:rsidR="00183FC7" w:rsidRPr="008B4E59">
        <w:rPr>
          <w:i/>
          <w:iCs/>
          <w:color w:val="404040" w:themeColor="text1" w:themeTint="BF"/>
        </w:rPr>
        <w:t>28</w:t>
      </w:r>
      <w:r w:rsidR="0033030B" w:rsidRPr="008B4E59">
        <w:rPr>
          <w:i/>
          <w:iCs/>
          <w:color w:val="404040" w:themeColor="text1" w:themeTint="BF"/>
        </w:rPr>
        <w:t xml:space="preserve">. 5. 2025  </w:t>
      </w:r>
    </w:p>
    <w:p w14:paraId="3AC8D222" w14:textId="63BCF554" w:rsidR="0033030B" w:rsidRPr="008B4E59" w:rsidRDefault="00DC47DE" w:rsidP="00597006">
      <w:pPr>
        <w:pStyle w:val="Odstavecseseznamem"/>
        <w:numPr>
          <w:ilvl w:val="0"/>
          <w:numId w:val="22"/>
        </w:numPr>
        <w:tabs>
          <w:tab w:val="left" w:pos="679"/>
        </w:tabs>
        <w:spacing w:after="120" w:line="312" w:lineRule="auto"/>
        <w:ind w:right="125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f</w:t>
      </w:r>
      <w:r w:rsidR="0033030B" w:rsidRPr="008B4E59">
        <w:rPr>
          <w:i/>
          <w:iCs/>
          <w:color w:val="404040" w:themeColor="text1" w:themeTint="BF"/>
        </w:rPr>
        <w:t>unkční Control Desk v TEST rozsahu celé CMS (Portál, Automatizace, Infrastruktura, Síť, které jsou poskytovány v rámci součinnosti) pro akceptaci tří</w:t>
      </w:r>
      <w:r w:rsidR="00DB637B" w:rsidRPr="008B4E59">
        <w:rPr>
          <w:i/>
          <w:iCs/>
          <w:color w:val="404040" w:themeColor="text1" w:themeTint="BF"/>
        </w:rPr>
        <w:t> </w:t>
      </w:r>
      <w:r w:rsidR="0033030B" w:rsidRPr="008B4E59">
        <w:rPr>
          <w:i/>
          <w:iCs/>
          <w:color w:val="404040" w:themeColor="text1" w:themeTint="BF"/>
        </w:rPr>
        <w:t xml:space="preserve">základních business služeb </w:t>
      </w:r>
    </w:p>
    <w:p w14:paraId="45322E8E" w14:textId="1816766B" w:rsidR="0033030B" w:rsidRPr="008B4E59" w:rsidRDefault="00834DA9" w:rsidP="00597006">
      <w:pPr>
        <w:pStyle w:val="Odstavecseseznamem"/>
        <w:tabs>
          <w:tab w:val="left" w:pos="1701"/>
        </w:tabs>
        <w:spacing w:after="120" w:line="312" w:lineRule="auto"/>
        <w:ind w:left="1688" w:right="125" w:hanging="270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●</w:t>
      </w:r>
      <w:r w:rsidRPr="008B4E59">
        <w:rPr>
          <w:i/>
          <w:iCs/>
          <w:color w:val="404040" w:themeColor="text1" w:themeTint="BF"/>
        </w:rPr>
        <w:tab/>
      </w:r>
      <w:r w:rsidR="0033030B" w:rsidRPr="008B4E59">
        <w:rPr>
          <w:i/>
          <w:iCs/>
          <w:color w:val="404040" w:themeColor="text1" w:themeTint="BF"/>
        </w:rPr>
        <w:t>Dílčí část Plnění I</w:t>
      </w:r>
      <w:r w:rsidR="002D6DFD" w:rsidRPr="008B4E59">
        <w:rPr>
          <w:i/>
          <w:iCs/>
          <w:color w:val="404040" w:themeColor="text1" w:themeTint="BF"/>
        </w:rPr>
        <w:t>I</w:t>
      </w:r>
      <w:r w:rsidR="0033030B" w:rsidRPr="008B4E59">
        <w:rPr>
          <w:i/>
          <w:iCs/>
          <w:color w:val="404040" w:themeColor="text1" w:themeTint="BF"/>
        </w:rPr>
        <w:t>I – do 3</w:t>
      </w:r>
      <w:r w:rsidR="00183FC7" w:rsidRPr="008B4E59">
        <w:rPr>
          <w:i/>
          <w:iCs/>
          <w:color w:val="404040" w:themeColor="text1" w:themeTint="BF"/>
        </w:rPr>
        <w:t>0</w:t>
      </w:r>
      <w:r w:rsidR="0033030B" w:rsidRPr="008B4E59">
        <w:rPr>
          <w:i/>
          <w:iCs/>
          <w:color w:val="404040" w:themeColor="text1" w:themeTint="BF"/>
        </w:rPr>
        <w:t xml:space="preserve">. </w:t>
      </w:r>
      <w:r w:rsidR="00183FC7" w:rsidRPr="008B4E59">
        <w:rPr>
          <w:i/>
          <w:iCs/>
          <w:color w:val="404040" w:themeColor="text1" w:themeTint="BF"/>
        </w:rPr>
        <w:t>6</w:t>
      </w:r>
      <w:r w:rsidR="0033030B" w:rsidRPr="008B4E59">
        <w:rPr>
          <w:i/>
          <w:iCs/>
          <w:color w:val="404040" w:themeColor="text1" w:themeTint="BF"/>
        </w:rPr>
        <w:t xml:space="preserve">. 2025 - funkční Control Desk v PROD rozsahu celé CMS (Portál, Automatizace, Infrastruktura, Síť, které jsou poskytovány v rámci součinnosti pro akceptaci tří základních business služeb) </w:t>
      </w:r>
    </w:p>
    <w:p w14:paraId="3130CD03" w14:textId="7AC6D9B6" w:rsidR="0033030B" w:rsidRPr="008B4E59" w:rsidRDefault="00834DA9" w:rsidP="00597006">
      <w:pPr>
        <w:pStyle w:val="Odstavecseseznamem"/>
        <w:tabs>
          <w:tab w:val="left" w:pos="1701"/>
        </w:tabs>
        <w:spacing w:after="120" w:line="312" w:lineRule="auto"/>
        <w:ind w:left="1688" w:right="125" w:hanging="270"/>
        <w:jc w:val="both"/>
        <w:rPr>
          <w:i/>
          <w:iCs/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●</w:t>
      </w:r>
      <w:r w:rsidRPr="008B4E59">
        <w:rPr>
          <w:i/>
          <w:iCs/>
          <w:color w:val="404040" w:themeColor="text1" w:themeTint="BF"/>
        </w:rPr>
        <w:tab/>
      </w:r>
      <w:r w:rsidR="0033030B" w:rsidRPr="008B4E59">
        <w:rPr>
          <w:i/>
          <w:iCs/>
          <w:color w:val="404040" w:themeColor="text1" w:themeTint="BF"/>
        </w:rPr>
        <w:t>Dílčí část Plnění I</w:t>
      </w:r>
      <w:r w:rsidR="002D6DFD" w:rsidRPr="008B4E59">
        <w:rPr>
          <w:i/>
          <w:iCs/>
          <w:color w:val="404040" w:themeColor="text1" w:themeTint="BF"/>
        </w:rPr>
        <w:t>V</w:t>
      </w:r>
      <w:r w:rsidR="0033030B" w:rsidRPr="008B4E59">
        <w:rPr>
          <w:i/>
          <w:iCs/>
          <w:color w:val="404040" w:themeColor="text1" w:themeTint="BF"/>
        </w:rPr>
        <w:t xml:space="preserve"> – do 31. 12. 2025 – implementace všech předaných business služeb a rollout, specifikovaných v LLD k 31.7.2025  </w:t>
      </w:r>
    </w:p>
    <w:p w14:paraId="043ECC32" w14:textId="71B96C73" w:rsidR="001D3A7D" w:rsidRPr="008B4E59" w:rsidRDefault="00834DA9" w:rsidP="00597006">
      <w:pPr>
        <w:pStyle w:val="Odstavecseseznamem"/>
        <w:tabs>
          <w:tab w:val="left" w:pos="1701"/>
        </w:tabs>
        <w:spacing w:after="120" w:line="312" w:lineRule="auto"/>
        <w:ind w:left="1688" w:right="125" w:hanging="270"/>
        <w:jc w:val="both"/>
        <w:rPr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●</w:t>
      </w:r>
      <w:r w:rsidRPr="008B4E59">
        <w:rPr>
          <w:i/>
          <w:iCs/>
          <w:color w:val="404040" w:themeColor="text1" w:themeTint="BF"/>
        </w:rPr>
        <w:tab/>
      </w:r>
      <w:r w:rsidR="0033030B" w:rsidRPr="008B4E59">
        <w:rPr>
          <w:i/>
          <w:iCs/>
          <w:color w:val="404040" w:themeColor="text1" w:themeTint="BF"/>
        </w:rPr>
        <w:t>Dílčí část Plnění V – do 31. 12. 2025 –</w:t>
      </w:r>
      <w:r w:rsidR="005461D0" w:rsidRPr="008B4E59">
        <w:rPr>
          <w:i/>
          <w:iCs/>
          <w:color w:val="404040" w:themeColor="text1" w:themeTint="BF"/>
        </w:rPr>
        <w:t xml:space="preserve"> </w:t>
      </w:r>
      <w:r w:rsidR="0033030B" w:rsidRPr="008B4E59">
        <w:rPr>
          <w:i/>
          <w:iCs/>
          <w:color w:val="404040" w:themeColor="text1" w:themeTint="BF"/>
        </w:rPr>
        <w:t>odborné předání plnění a nasazení systému Control Desk do provozu, dokumentace systému</w:t>
      </w:r>
    </w:p>
    <w:p w14:paraId="1252180F" w14:textId="02014971" w:rsidR="00D14B5E" w:rsidRPr="008B4E59" w:rsidRDefault="00D14B5E" w:rsidP="000676B6">
      <w:pPr>
        <w:pStyle w:val="Odstavecseseznamem"/>
        <w:tabs>
          <w:tab w:val="left" w:pos="1418"/>
          <w:tab w:val="left" w:pos="2127"/>
        </w:tabs>
        <w:spacing w:line="312" w:lineRule="auto"/>
        <w:ind w:left="1418" w:right="125" w:firstLine="0"/>
        <w:jc w:val="both"/>
        <w:rPr>
          <w:color w:val="404040" w:themeColor="text1" w:themeTint="BF"/>
        </w:rPr>
      </w:pPr>
      <w:r w:rsidRPr="008B4E59">
        <w:rPr>
          <w:i/>
          <w:iCs/>
          <w:color w:val="404040" w:themeColor="text1" w:themeTint="BF"/>
        </w:rPr>
        <w:t>S ohledem na to, že Objednatel v době uzavření této Smlouvy nezná veškeré časové návaznosti, vyhrazuje si právo posunout po dohodě s Dodavatelem termín/y v rámci harmonogramu realizace Plnění zejména v návaznosti na případné prodlení Objednatele nebo jím zajištěné třetí strany (zákazníka Objednatele, jiného dodavatele apod.) se</w:t>
      </w:r>
      <w:r w:rsidR="00E208F0" w:rsidRPr="008B4E59">
        <w:rPr>
          <w:i/>
          <w:iCs/>
          <w:color w:val="404040" w:themeColor="text1" w:themeTint="BF"/>
        </w:rPr>
        <w:t> </w:t>
      </w:r>
      <w:r w:rsidRPr="008B4E59">
        <w:rPr>
          <w:i/>
          <w:iCs/>
          <w:color w:val="404040" w:themeColor="text1" w:themeTint="BF"/>
        </w:rPr>
        <w:t>zajištěním nezbytné součinnosti, jakož i právo upravit/změnit akceptační kritéria, jak</w:t>
      </w:r>
      <w:r w:rsidR="00E208F0" w:rsidRPr="008B4E59">
        <w:rPr>
          <w:i/>
          <w:iCs/>
          <w:color w:val="404040" w:themeColor="text1" w:themeTint="BF"/>
        </w:rPr>
        <w:t> </w:t>
      </w:r>
      <w:r w:rsidRPr="008B4E59">
        <w:rPr>
          <w:i/>
          <w:iCs/>
          <w:color w:val="404040" w:themeColor="text1" w:themeTint="BF"/>
        </w:rPr>
        <w:t xml:space="preserve">jsou tato nastavena v rámci Přílohy č. 1 Smlouvy. Za účelem provedení změny </w:t>
      </w:r>
      <w:r w:rsidRPr="008B4E59">
        <w:rPr>
          <w:i/>
          <w:iCs/>
          <w:color w:val="404040" w:themeColor="text1" w:themeTint="BF"/>
        </w:rPr>
        <w:lastRenderedPageBreak/>
        <w:t>harmonogramu realizace Plnění a/nebo úpravy/změny akceptačních kritérií bude Smluvními stranami k této Smlouvě uzavřen dodatek.</w:t>
      </w:r>
      <w:r w:rsidR="00834DA9" w:rsidRPr="008B4E59">
        <w:rPr>
          <w:color w:val="404040" w:themeColor="text1" w:themeTint="BF"/>
        </w:rPr>
        <w:t>“</w:t>
      </w:r>
    </w:p>
    <w:p w14:paraId="0659751E" w14:textId="7B7F23B1" w:rsidR="00DC381C" w:rsidRPr="008B4E59" w:rsidRDefault="00123F64" w:rsidP="000676B6">
      <w:pPr>
        <w:pStyle w:val="Odstavecseseznamem"/>
        <w:numPr>
          <w:ilvl w:val="1"/>
          <w:numId w:val="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Smluvní strany se dále dohodly, že ustanovení čl. 3 odst. 3.4 </w:t>
      </w:r>
      <w:r w:rsidR="00E342BE">
        <w:rPr>
          <w:color w:val="404040" w:themeColor="text1" w:themeTint="BF"/>
        </w:rPr>
        <w:t>S</w:t>
      </w:r>
      <w:r w:rsidR="000E4FEE" w:rsidRPr="008B4E59">
        <w:rPr>
          <w:color w:val="404040" w:themeColor="text1" w:themeTint="BF"/>
        </w:rPr>
        <w:t xml:space="preserve">mlouvy se v důsledku doplnění a přečíslování jednotlivých dílčích částí Plnění </w:t>
      </w:r>
      <w:r w:rsidR="00DC381C" w:rsidRPr="008B4E59">
        <w:rPr>
          <w:color w:val="404040" w:themeColor="text1" w:themeTint="BF"/>
        </w:rPr>
        <w:t>ruší a nahrazuje se následujícím novým zněním:</w:t>
      </w:r>
    </w:p>
    <w:p w14:paraId="3A2FAC7A" w14:textId="2DF8FD05" w:rsidR="00123F64" w:rsidRPr="008B4E59" w:rsidRDefault="00DC381C" w:rsidP="000C5827">
      <w:pPr>
        <w:pStyle w:val="Odstavecseseznamem"/>
        <w:tabs>
          <w:tab w:val="left" w:pos="679"/>
          <w:tab w:val="left" w:pos="1560"/>
        </w:tabs>
        <w:spacing w:before="196" w:line="312" w:lineRule="auto"/>
        <w:ind w:left="1418" w:right="122" w:hanging="739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„</w:t>
      </w:r>
      <w:r w:rsidRPr="008B4E59">
        <w:rPr>
          <w:i/>
          <w:iCs/>
          <w:color w:val="404040" w:themeColor="text1" w:themeTint="BF"/>
        </w:rPr>
        <w:t>3.4</w:t>
      </w:r>
      <w:r w:rsidRPr="008B4E59">
        <w:rPr>
          <w:color w:val="404040" w:themeColor="text1" w:themeTint="BF"/>
        </w:rPr>
        <w:tab/>
      </w:r>
      <w:r w:rsidR="00123F64" w:rsidRPr="008B4E59">
        <w:rPr>
          <w:i/>
          <w:iCs/>
          <w:color w:val="404040" w:themeColor="text1" w:themeTint="BF"/>
        </w:rPr>
        <w:t xml:space="preserve">Akceptační procedura k jednotlivým dílčím částem Plnění </w:t>
      </w:r>
      <w:r w:rsidRPr="008B4E59">
        <w:rPr>
          <w:i/>
          <w:iCs/>
          <w:color w:val="404040" w:themeColor="text1" w:themeTint="BF"/>
        </w:rPr>
        <w:t>I–V</w:t>
      </w:r>
      <w:r w:rsidR="00123F64" w:rsidRPr="008B4E59">
        <w:rPr>
          <w:i/>
          <w:iCs/>
          <w:color w:val="404040" w:themeColor="text1" w:themeTint="BF"/>
        </w:rPr>
        <w:t xml:space="preserve"> se řídí ust. čl. 3 odst. 3.22 písm. b) a násl. Rámcové dohody. Akceptační kritéria pro akceptaci každé dílčí části Plnění </w:t>
      </w:r>
      <w:r w:rsidRPr="008B4E59">
        <w:rPr>
          <w:i/>
          <w:iCs/>
          <w:color w:val="404040" w:themeColor="text1" w:themeTint="BF"/>
        </w:rPr>
        <w:t>I–V</w:t>
      </w:r>
      <w:r w:rsidR="00123F64" w:rsidRPr="008B4E59">
        <w:rPr>
          <w:i/>
          <w:iCs/>
          <w:color w:val="404040" w:themeColor="text1" w:themeTint="BF"/>
        </w:rPr>
        <w:t xml:space="preserve"> stanovuje Příloha č. 1 této Smlouvy. Pro vyloučení pochybností se sjednává, že každá dílčí část Plnění </w:t>
      </w:r>
      <w:r w:rsidRPr="008B4E59">
        <w:rPr>
          <w:i/>
          <w:iCs/>
          <w:color w:val="404040" w:themeColor="text1" w:themeTint="BF"/>
        </w:rPr>
        <w:t>I–V</w:t>
      </w:r>
      <w:r w:rsidR="00123F64" w:rsidRPr="008B4E59">
        <w:rPr>
          <w:i/>
          <w:iCs/>
          <w:color w:val="404040" w:themeColor="text1" w:themeTint="BF"/>
        </w:rPr>
        <w:t xml:space="preserve"> dle harmonogramu Plnění, který je uveden v odst. 3.3 tohoto článku Smlouvy, bude podléhat samostatné akceptační proceduře, jejímž výsledkem bude podpis Akceptačního protokolu Služeb pro příslušnou dílčí část Plnění.</w:t>
      </w:r>
      <w:r w:rsidRPr="008B4E59">
        <w:rPr>
          <w:color w:val="404040" w:themeColor="text1" w:themeTint="BF"/>
        </w:rPr>
        <w:t>“</w:t>
      </w:r>
    </w:p>
    <w:bookmarkEnd w:id="0"/>
    <w:p w14:paraId="3DC60B4F" w14:textId="7EF56EBF" w:rsidR="00BB5258" w:rsidRPr="008B4E59" w:rsidRDefault="00BB5258" w:rsidP="000676B6">
      <w:pPr>
        <w:pStyle w:val="Odstavecseseznamem"/>
        <w:numPr>
          <w:ilvl w:val="1"/>
          <w:numId w:val="7"/>
        </w:numPr>
        <w:tabs>
          <w:tab w:val="left" w:pos="679"/>
        </w:tabs>
        <w:spacing w:before="196" w:line="312" w:lineRule="auto"/>
        <w:ind w:right="122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Smluvní strany se dále současně dohodly, že Příloha č. 1 </w:t>
      </w:r>
      <w:r w:rsidRPr="008B4E59">
        <w:rPr>
          <w:b/>
          <w:bCs/>
          <w:color w:val="404040" w:themeColor="text1" w:themeTint="BF"/>
        </w:rPr>
        <w:t xml:space="preserve">– </w:t>
      </w:r>
      <w:r w:rsidRPr="008B4E59">
        <w:rPr>
          <w:color w:val="404040" w:themeColor="text1" w:themeTint="BF"/>
        </w:rPr>
        <w:t xml:space="preserve">Rámcová specifikace požadavků Plnění, specifikace dílčích částí Plnění, akceptační kritéria </w:t>
      </w:r>
      <w:r w:rsidR="00246D00">
        <w:rPr>
          <w:color w:val="404040" w:themeColor="text1" w:themeTint="BF"/>
        </w:rPr>
        <w:t>S</w:t>
      </w:r>
      <w:r w:rsidRPr="008B4E59">
        <w:rPr>
          <w:color w:val="404040" w:themeColor="text1" w:themeTint="BF"/>
        </w:rPr>
        <w:t xml:space="preserve">mlouvy, se celá ruší a nahrazuje se aktualizovanou novou Přílohou č. 1 – Rámcová specifikace požadavků Plnění, specifikace dílčích částí Plnění, akceptační kritéria, která tvoří Přílohu č. 1 tohoto Dodatku. </w:t>
      </w:r>
    </w:p>
    <w:p w14:paraId="6D387FC5" w14:textId="77777777" w:rsidR="00426957" w:rsidRPr="008B4E59" w:rsidRDefault="00426957" w:rsidP="000676B6">
      <w:pPr>
        <w:pStyle w:val="Odstavecseseznamem"/>
        <w:tabs>
          <w:tab w:val="left" w:pos="679"/>
        </w:tabs>
        <w:spacing w:before="120" w:line="312" w:lineRule="auto"/>
        <w:ind w:left="679" w:right="123" w:firstLine="0"/>
        <w:jc w:val="right"/>
        <w:rPr>
          <w:color w:val="404040" w:themeColor="text1" w:themeTint="BF"/>
        </w:rPr>
      </w:pPr>
    </w:p>
    <w:p w14:paraId="0CC24EE0" w14:textId="33F78082" w:rsidR="00426957" w:rsidRPr="008B4E59" w:rsidRDefault="00426957" w:rsidP="000676B6">
      <w:pPr>
        <w:widowControl/>
        <w:numPr>
          <w:ilvl w:val="0"/>
          <w:numId w:val="7"/>
        </w:numPr>
        <w:autoSpaceDE/>
        <w:autoSpaceDN/>
        <w:spacing w:after="224" w:line="312" w:lineRule="auto"/>
        <w:ind w:left="567" w:right="14"/>
        <w:jc w:val="center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>Závěrečná ustanovení</w:t>
      </w:r>
    </w:p>
    <w:p w14:paraId="1558A711" w14:textId="3BF847A6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202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Dodatek č. 1 nabývá platnosti dnem podpisu oběma Smluvními stranami a účinnosti dnem zveřejnění v registru smluv, tj. splněním zákonné podmínky stanovené § 6 odst. 1 zákona č.</w:t>
      </w:r>
      <w:r w:rsidR="0040776B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340/2015 Sb., o zvláštních podmínkách účinnosti některých smluv, uveřejňování těchto smluv a</w:t>
      </w:r>
      <w:r w:rsidR="0040776B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registru smluv (zákon o registru smluv), ve znění pozdějších předpisů. </w:t>
      </w:r>
      <w:r w:rsidR="0040776B" w:rsidRPr="008B4E59">
        <w:rPr>
          <w:color w:val="404040" w:themeColor="text1" w:themeTint="BF"/>
        </w:rPr>
        <w:t xml:space="preserve">Zveřejnění Dodatku č. 1 v registru smluv zajistí Objednatel. </w:t>
      </w:r>
    </w:p>
    <w:p w14:paraId="050DF9CA" w14:textId="16A0B7D1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202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Tento Dodatek je vyhotoven elektronicky a podeps</w:t>
      </w:r>
      <w:r w:rsidR="006F09DE" w:rsidRPr="008B4E59">
        <w:rPr>
          <w:color w:val="404040" w:themeColor="text1" w:themeTint="BF"/>
        </w:rPr>
        <w:t>á</w:t>
      </w:r>
      <w:r w:rsidRPr="008B4E59">
        <w:rPr>
          <w:color w:val="404040" w:themeColor="text1" w:themeTint="BF"/>
        </w:rPr>
        <w:t xml:space="preserve">n </w:t>
      </w:r>
      <w:r w:rsidR="00BA7846" w:rsidRPr="008B4E59">
        <w:rPr>
          <w:color w:val="404040" w:themeColor="text1" w:themeTint="BF"/>
        </w:rPr>
        <w:t>v souladu s platnou právní úpravou</w:t>
      </w:r>
      <w:r w:rsidRPr="008B4E59">
        <w:rPr>
          <w:color w:val="404040" w:themeColor="text1" w:themeTint="BF"/>
        </w:rPr>
        <w:t xml:space="preserve">. </w:t>
      </w:r>
    </w:p>
    <w:p w14:paraId="04348038" w14:textId="2EB889EB" w:rsidR="00426957" w:rsidRPr="008B4E59" w:rsidRDefault="00426957" w:rsidP="000676B6">
      <w:pPr>
        <w:widowControl/>
        <w:numPr>
          <w:ilvl w:val="1"/>
          <w:numId w:val="7"/>
        </w:numPr>
        <w:autoSpaceDE/>
        <w:autoSpaceDN/>
        <w:spacing w:after="168" w:line="312" w:lineRule="auto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Smluvní strany shodně prohlašují, že si Dodatek</w:t>
      </w:r>
      <w:r w:rsidR="006F09DE" w:rsidRPr="008B4E59">
        <w:rPr>
          <w:color w:val="404040" w:themeColor="text1" w:themeTint="BF"/>
        </w:rPr>
        <w:t xml:space="preserve"> č. 1</w:t>
      </w:r>
      <w:r w:rsidRPr="008B4E59">
        <w:rPr>
          <w:color w:val="404040" w:themeColor="text1" w:themeTint="BF"/>
        </w:rPr>
        <w:t xml:space="preserve"> před jeho podpisem přečetly a že byl uzavřen po vzájemném projednání podle jejich pravé a svobodné vůle, určitě, vážně a srozumitelně, a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že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>se</w:t>
      </w:r>
      <w:r w:rsidR="006F09DE" w:rsidRPr="008B4E5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dohodly na celém jeho obsahu, což stvrzují svými podpisy. </w:t>
      </w:r>
    </w:p>
    <w:p w14:paraId="45F496BF" w14:textId="290EDFD5" w:rsidR="00915F23" w:rsidRPr="008B4E59" w:rsidRDefault="005E4926" w:rsidP="000676B6">
      <w:pPr>
        <w:pStyle w:val="Zkladntext"/>
        <w:tabs>
          <w:tab w:val="left" w:pos="2127"/>
        </w:tabs>
        <w:spacing w:before="196" w:line="312" w:lineRule="auto"/>
        <w:ind w:left="2127" w:right="105" w:hanging="1418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P</w:t>
      </w:r>
      <w:r w:rsidR="00BC64B5" w:rsidRPr="008B4E59">
        <w:rPr>
          <w:color w:val="404040" w:themeColor="text1" w:themeTint="BF"/>
        </w:rPr>
        <w:t>říloha č. 1 –</w:t>
      </w:r>
      <w:r w:rsidRPr="008B4E59">
        <w:rPr>
          <w:color w:val="404040" w:themeColor="text1" w:themeTint="BF"/>
        </w:rPr>
        <w:tab/>
      </w:r>
      <w:r w:rsidR="00B60751" w:rsidRPr="008B4E59">
        <w:rPr>
          <w:color w:val="404040" w:themeColor="text1" w:themeTint="BF"/>
        </w:rPr>
        <w:t xml:space="preserve">Příloha č. 1 </w:t>
      </w:r>
      <w:r w:rsidRPr="008B4E59">
        <w:rPr>
          <w:color w:val="404040" w:themeColor="text1" w:themeTint="BF"/>
        </w:rPr>
        <w:t xml:space="preserve">– </w:t>
      </w:r>
      <w:r w:rsidR="00B226F9" w:rsidRPr="008B4E59">
        <w:rPr>
          <w:color w:val="404040" w:themeColor="text1" w:themeTint="BF"/>
        </w:rPr>
        <w:t>Rámcová specifikace požadavků Plnění, specifikace dílčích částí Plnění</w:t>
      </w:r>
      <w:r w:rsidR="00A23C31" w:rsidRPr="008B4E59">
        <w:rPr>
          <w:color w:val="404040" w:themeColor="text1" w:themeTint="BF"/>
        </w:rPr>
        <w:t xml:space="preserve">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A1632" w:rsidRPr="008B4E59" w14:paraId="5E197C61" w14:textId="77777777" w:rsidTr="00A1646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763714B" w14:textId="77777777" w:rsidR="002A1632" w:rsidRPr="008B4E59" w:rsidRDefault="002A1632" w:rsidP="00A16461">
            <w:pPr>
              <w:pStyle w:val="Odstavecseseznamem"/>
              <w:ind w:left="567"/>
              <w:rPr>
                <w:color w:val="404040" w:themeColor="text1" w:themeTint="BF"/>
              </w:rPr>
            </w:pPr>
          </w:p>
          <w:p w14:paraId="7CFE22BC" w14:textId="77777777" w:rsidR="002A1632" w:rsidRPr="008B4E59" w:rsidRDefault="002A1632" w:rsidP="00A16461">
            <w:pPr>
              <w:ind w:right="-429" w:firstLine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V Praze dne: 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8773FE" w14:textId="77777777" w:rsidR="002A1632" w:rsidRPr="008B4E59" w:rsidRDefault="002A1632" w:rsidP="00A16461">
            <w:pPr>
              <w:pStyle w:val="Odstavecseseznamem"/>
              <w:ind w:left="567"/>
              <w:rPr>
                <w:color w:val="404040" w:themeColor="text1" w:themeTint="BF"/>
              </w:rPr>
            </w:pPr>
          </w:p>
          <w:p w14:paraId="3379AE1E" w14:textId="77777777" w:rsidR="002A1632" w:rsidRPr="008B4E59" w:rsidRDefault="002A1632" w:rsidP="00A16461">
            <w:pPr>
              <w:pStyle w:val="Odstavecseseznamem"/>
              <w:ind w:left="2" w:firstLine="57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V            dne: ________________</w:t>
            </w:r>
          </w:p>
        </w:tc>
      </w:tr>
    </w:tbl>
    <w:p w14:paraId="3CE6D10E" w14:textId="77777777" w:rsidR="002A1632" w:rsidRPr="008B4E59" w:rsidRDefault="002A1632" w:rsidP="002A1632">
      <w:pPr>
        <w:spacing w:after="120" w:line="360" w:lineRule="auto"/>
        <w:rPr>
          <w:color w:val="404040" w:themeColor="text1" w:themeTint="BF"/>
        </w:rPr>
      </w:pPr>
    </w:p>
    <w:p w14:paraId="7DEEEB9C" w14:textId="77777777" w:rsidR="002A1632" w:rsidRPr="008B4E59" w:rsidRDefault="002A1632" w:rsidP="002A1632">
      <w:pPr>
        <w:spacing w:after="120" w:line="360" w:lineRule="auto"/>
        <w:rPr>
          <w:color w:val="404040" w:themeColor="text1" w:themeTint="BF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8B4E59" w:rsidRPr="008B4E59" w14:paraId="19A6629B" w14:textId="77777777" w:rsidTr="00A16461">
        <w:trPr>
          <w:trHeight w:val="22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1D1C498" w14:textId="77777777" w:rsidR="002A1632" w:rsidRPr="008B4E59" w:rsidRDefault="002A1632" w:rsidP="00A16461">
            <w:pPr>
              <w:spacing w:after="120" w:line="360" w:lineRule="auto"/>
              <w:ind w:firstLine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FDE0C" w14:textId="77777777" w:rsidR="002A1632" w:rsidRPr="008B4E59" w:rsidRDefault="002A1632" w:rsidP="00A16461">
            <w:pPr>
              <w:spacing w:after="120" w:line="360" w:lineRule="auto"/>
              <w:ind w:firstLine="574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________________________________</w:t>
            </w:r>
          </w:p>
        </w:tc>
      </w:tr>
      <w:tr w:rsidR="008B4E59" w:rsidRPr="008B4E59" w14:paraId="16A1C7FC" w14:textId="77777777" w:rsidTr="00A1646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218BAF" w14:textId="0A9800EE" w:rsidR="002A1632" w:rsidRPr="008B4E59" w:rsidRDefault="00E82A35" w:rsidP="00A16461">
            <w:pPr>
              <w:spacing w:after="120"/>
              <w:ind w:firstLine="49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64F874F7" w14:textId="28D7F908" w:rsidR="002A1632" w:rsidRPr="008B4E59" w:rsidRDefault="00E82A35" w:rsidP="00A16461">
            <w:pPr>
              <w:spacing w:after="120"/>
              <w:ind w:firstLine="492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AC1102" w14:textId="4B7D627C" w:rsidR="002A1632" w:rsidRPr="008B4E59" w:rsidRDefault="00E82A35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  <w:p w14:paraId="26153512" w14:textId="5C4E30AD" w:rsidR="002A1632" w:rsidRPr="008B4E59" w:rsidRDefault="00E82A35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xxx</w:t>
            </w:r>
          </w:p>
        </w:tc>
      </w:tr>
      <w:tr w:rsidR="002A1632" w:rsidRPr="008B4E59" w14:paraId="3C936D5A" w14:textId="77777777" w:rsidTr="00A16461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81DD38" w14:textId="77777777" w:rsidR="002A1632" w:rsidRPr="008B4E59" w:rsidRDefault="002A1632" w:rsidP="00A16461">
            <w:pPr>
              <w:spacing w:after="120"/>
              <w:ind w:left="492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Národní agentura pro komunikační a informační technologie, s. p.</w:t>
            </w:r>
          </w:p>
          <w:p w14:paraId="53A8C00D" w14:textId="77777777" w:rsidR="002A1632" w:rsidRPr="008B4E59" w:rsidRDefault="002A1632" w:rsidP="00A16461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DC8539" w14:textId="77777777" w:rsidR="002A1632" w:rsidRPr="008B4E59" w:rsidRDefault="002A1632" w:rsidP="00A16461">
            <w:pPr>
              <w:spacing w:after="120"/>
              <w:ind w:firstLine="574"/>
              <w:rPr>
                <w:color w:val="404040" w:themeColor="text1" w:themeTint="BF"/>
              </w:rPr>
            </w:pPr>
            <w:r w:rsidRPr="008B4E59">
              <w:rPr>
                <w:color w:val="404040" w:themeColor="text1" w:themeTint="BF"/>
              </w:rPr>
              <w:t>Aricoma Systems a.s.</w:t>
            </w:r>
          </w:p>
          <w:p w14:paraId="56E22432" w14:textId="77777777" w:rsidR="002A1632" w:rsidRPr="008B4E59" w:rsidRDefault="002A1632" w:rsidP="00A16461">
            <w:pPr>
              <w:spacing w:after="120"/>
              <w:rPr>
                <w:color w:val="404040" w:themeColor="text1" w:themeTint="BF"/>
              </w:rPr>
            </w:pPr>
          </w:p>
        </w:tc>
      </w:tr>
    </w:tbl>
    <w:p w14:paraId="349D46E2" w14:textId="77777777" w:rsidR="00915F23" w:rsidRPr="008B4E59" w:rsidRDefault="00915F23">
      <w:pPr>
        <w:rPr>
          <w:color w:val="404040" w:themeColor="text1" w:themeTint="BF"/>
          <w:sz w:val="20"/>
        </w:rPr>
        <w:sectPr w:rsidR="00915F23" w:rsidRPr="008B4E59" w:rsidSect="00914866">
          <w:pgSz w:w="11910" w:h="16840"/>
          <w:pgMar w:top="1702" w:right="720" w:bottom="980" w:left="1020" w:header="649" w:footer="795" w:gutter="0"/>
          <w:cols w:space="708"/>
        </w:sectPr>
      </w:pPr>
    </w:p>
    <w:p w14:paraId="5E519C3B" w14:textId="333F5FD9" w:rsidR="00F74596" w:rsidRPr="008B4E59" w:rsidRDefault="00F74596" w:rsidP="00AC4970">
      <w:pPr>
        <w:spacing w:line="312" w:lineRule="auto"/>
        <w:ind w:right="681"/>
        <w:jc w:val="both"/>
        <w:rPr>
          <w:color w:val="404040" w:themeColor="text1" w:themeTint="BF"/>
        </w:rPr>
      </w:pPr>
      <w:bookmarkStart w:id="1" w:name="_Hlk184729745"/>
      <w:r w:rsidRPr="008B4E59">
        <w:rPr>
          <w:b/>
          <w:color w:val="404040" w:themeColor="text1" w:themeTint="BF"/>
        </w:rPr>
        <w:lastRenderedPageBreak/>
        <w:t xml:space="preserve">Příloha č. 1 – </w:t>
      </w:r>
      <w:r w:rsidRPr="008B4E59">
        <w:rPr>
          <w:color w:val="404040" w:themeColor="text1" w:themeTint="BF"/>
        </w:rPr>
        <w:t xml:space="preserve">Rámcová specifikace požadavků Plnění, specifikace dílčích částí Plnění, akceptační kritéria </w:t>
      </w:r>
    </w:p>
    <w:p w14:paraId="7BE378FE" w14:textId="77777777" w:rsidR="00F74596" w:rsidRPr="008B4E59" w:rsidRDefault="00F74596" w:rsidP="00AC4970">
      <w:pPr>
        <w:spacing w:after="92" w:line="312" w:lineRule="auto"/>
        <w:ind w:left="76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 </w:t>
      </w:r>
    </w:p>
    <w:p w14:paraId="60A5A840" w14:textId="77777777" w:rsidR="00F74596" w:rsidRPr="008B4E59" w:rsidRDefault="00F74596" w:rsidP="00AC4970">
      <w:pPr>
        <w:widowControl/>
        <w:numPr>
          <w:ilvl w:val="0"/>
          <w:numId w:val="23"/>
        </w:numPr>
        <w:autoSpaceDE/>
        <w:autoSpaceDN/>
        <w:spacing w:after="153" w:line="312" w:lineRule="auto"/>
        <w:ind w:hanging="284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Časování a rozsah implementace Control Desku / Service Desku </w:t>
      </w:r>
    </w:p>
    <w:p w14:paraId="4E348261" w14:textId="77777777" w:rsidR="00F74596" w:rsidRPr="008B4E59" w:rsidRDefault="00F74596" w:rsidP="00AC4970">
      <w:pPr>
        <w:spacing w:after="195" w:line="312" w:lineRule="auto"/>
        <w:ind w:left="8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Předmětem tohoto dokumentu je </w:t>
      </w:r>
      <w:r w:rsidRPr="008B4E59">
        <w:rPr>
          <w:b/>
          <w:color w:val="404040" w:themeColor="text1" w:themeTint="BF"/>
        </w:rPr>
        <w:t>popis rozsahu implementace tenantu Control Desku s otevřenou možností implementace dalších tenantů Service Desku (nejdříve po červnu 2025)</w:t>
      </w:r>
      <w:r w:rsidRPr="008B4E59">
        <w:rPr>
          <w:color w:val="404040" w:themeColor="text1" w:themeTint="BF"/>
        </w:rPr>
        <w:t xml:space="preserve">, tak jak je znázorněno na obrázku. Dokument vychází z „Analýzy a prototypu CA SDM“, vypracované v září 2024. Dílčí části Plnění a termíny realizace: </w:t>
      </w:r>
    </w:p>
    <w:p w14:paraId="4F7AA8FE" w14:textId="77777777" w:rsidR="00F74596" w:rsidRPr="008B4E59" w:rsidRDefault="00F74596" w:rsidP="00AC4970">
      <w:pPr>
        <w:widowControl/>
        <w:numPr>
          <w:ilvl w:val="1"/>
          <w:numId w:val="23"/>
        </w:numPr>
        <w:autoSpaceDE/>
        <w:autoSpaceDN/>
        <w:spacing w:after="239" w:line="312" w:lineRule="auto"/>
        <w:ind w:hanging="471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Dílčí část Plnění I – do 28. 5. 2025  </w:t>
      </w:r>
    </w:p>
    <w:p w14:paraId="2FB1E560" w14:textId="77777777" w:rsidR="00F74596" w:rsidRPr="008B4E59" w:rsidRDefault="00F74596" w:rsidP="00AC4970">
      <w:pPr>
        <w:widowControl/>
        <w:numPr>
          <w:ilvl w:val="2"/>
          <w:numId w:val="23"/>
        </w:numPr>
        <w:autoSpaceDE/>
        <w:autoSpaceDN/>
        <w:spacing w:after="281" w:line="312" w:lineRule="auto"/>
        <w:ind w:hanging="471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příprava testovacího prostředí Control Desku, včetně API a CMDB </w:t>
      </w:r>
    </w:p>
    <w:p w14:paraId="56B96A31" w14:textId="77777777" w:rsidR="00F74596" w:rsidRPr="008B4E59" w:rsidRDefault="00F74596" w:rsidP="00AC4970">
      <w:pPr>
        <w:widowControl/>
        <w:numPr>
          <w:ilvl w:val="1"/>
          <w:numId w:val="23"/>
        </w:numPr>
        <w:autoSpaceDE/>
        <w:autoSpaceDN/>
        <w:spacing w:after="239" w:line="312" w:lineRule="auto"/>
        <w:ind w:hanging="471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Dílčí část Plnění II – do 28. 5. 2025  </w:t>
      </w:r>
    </w:p>
    <w:p w14:paraId="222BBD3C" w14:textId="77777777" w:rsidR="00F74596" w:rsidRPr="008B4E59" w:rsidRDefault="00F74596" w:rsidP="00AC4970">
      <w:pPr>
        <w:widowControl/>
        <w:numPr>
          <w:ilvl w:val="2"/>
          <w:numId w:val="23"/>
        </w:numPr>
        <w:autoSpaceDE/>
        <w:autoSpaceDN/>
        <w:spacing w:after="199" w:line="312" w:lineRule="auto"/>
        <w:ind w:hanging="471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Control Desk v TEST rozsahu celé CMS (Portál, Automatizace, Infrastruktura, Síť, které jsou poskytovány v rámci součinnosti) pro akceptaci tří základních business služeb </w:t>
      </w:r>
    </w:p>
    <w:p w14:paraId="03075BB3" w14:textId="2C41B2CC" w:rsidR="00F74596" w:rsidRPr="008B4E59" w:rsidRDefault="00F74596" w:rsidP="00AC4970">
      <w:pPr>
        <w:widowControl/>
        <w:numPr>
          <w:ilvl w:val="1"/>
          <w:numId w:val="23"/>
        </w:numPr>
        <w:autoSpaceDE/>
        <w:autoSpaceDN/>
        <w:spacing w:after="202" w:line="312" w:lineRule="auto"/>
        <w:ind w:hanging="471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Dílčí část Plnění III – do 30. 6. 2025 - funkční Control Desk v PROD rozsahu celé CMS (Portál, Automatizace, Infrastruktura, Síť, které jsou poskytovány v rámci součinnosti pro</w:t>
      </w:r>
      <w:r w:rsidR="00CC0C03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akceptaci tří základních business služeb) </w:t>
      </w:r>
    </w:p>
    <w:p w14:paraId="4C559EA5" w14:textId="77777777" w:rsidR="00F74596" w:rsidRPr="008B4E59" w:rsidRDefault="00F74596" w:rsidP="00AC4970">
      <w:pPr>
        <w:widowControl/>
        <w:numPr>
          <w:ilvl w:val="1"/>
          <w:numId w:val="23"/>
        </w:numPr>
        <w:autoSpaceDE/>
        <w:autoSpaceDN/>
        <w:spacing w:after="217" w:line="312" w:lineRule="auto"/>
        <w:ind w:hanging="471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Dílčí část Plnění IV – do 31. 12. 2025 – implementace všech předaných business služeb a rollout, specifikovaných v LLD k 31.7.2025  </w:t>
      </w:r>
    </w:p>
    <w:p w14:paraId="0BB3F7C3" w14:textId="5414493B" w:rsidR="00F74596" w:rsidRPr="008B4E59" w:rsidRDefault="00F74596" w:rsidP="00AC4970">
      <w:pPr>
        <w:widowControl/>
        <w:numPr>
          <w:ilvl w:val="1"/>
          <w:numId w:val="23"/>
        </w:numPr>
        <w:autoSpaceDE/>
        <w:autoSpaceDN/>
        <w:spacing w:line="312" w:lineRule="auto"/>
        <w:ind w:hanging="471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Dílčí část Plnění V – do 31. 12. 2025 –odborné předání plnění a nasazení systému Control Desk do provozu, dokumentace systému</w:t>
      </w:r>
      <w:r w:rsidR="001E184F">
        <w:rPr>
          <w:color w:val="404040" w:themeColor="text1" w:themeTint="BF"/>
        </w:rPr>
        <w:t>.</w:t>
      </w:r>
      <w:r w:rsidRPr="008B4E59">
        <w:rPr>
          <w:color w:val="404040" w:themeColor="text1" w:themeTint="BF"/>
        </w:rPr>
        <w:t xml:space="preserve"> </w:t>
      </w:r>
    </w:p>
    <w:p w14:paraId="1234B9D3" w14:textId="77777777" w:rsidR="00F74596" w:rsidRPr="008B4E59" w:rsidRDefault="00F74596" w:rsidP="00AC4970">
      <w:pPr>
        <w:spacing w:after="56" w:line="312" w:lineRule="auto"/>
        <w:ind w:left="548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</w:p>
    <w:p w14:paraId="0BC9A028" w14:textId="77777777" w:rsidR="00F74596" w:rsidRDefault="00F74596" w:rsidP="00CC0C03">
      <w:pPr>
        <w:spacing w:line="312" w:lineRule="auto"/>
        <w:ind w:left="8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Předmětem tohoto harmonogramu (ani projektu CMS 2.5) není implementace Service Desku pro ostatní tenanty stávajícího CASDM MV verze 14, nicméně navržená implementace musí tuto funkcionalitu podporovat. </w:t>
      </w:r>
    </w:p>
    <w:p w14:paraId="0EED40A9" w14:textId="337ED6AE" w:rsidR="007F66FE" w:rsidRPr="008B4E59" w:rsidRDefault="007F66FE" w:rsidP="00B30A24">
      <w:pPr>
        <w:spacing w:line="312" w:lineRule="auto"/>
        <w:jc w:val="both"/>
        <w:rPr>
          <w:color w:val="404040" w:themeColor="text1" w:themeTint="BF"/>
        </w:rPr>
      </w:pPr>
    </w:p>
    <w:p w14:paraId="12DF6C80" w14:textId="5CA747B2" w:rsidR="3B6DDDA1" w:rsidRDefault="3B6DDDA1" w:rsidP="00B9B65E">
      <w:pPr>
        <w:spacing w:line="312" w:lineRule="auto"/>
        <w:ind w:left="85"/>
        <w:jc w:val="both"/>
      </w:pPr>
      <w:r>
        <w:rPr>
          <w:noProof/>
        </w:rPr>
        <w:lastRenderedPageBreak/>
        <w:drawing>
          <wp:inline distT="0" distB="0" distL="0" distR="0" wp14:anchorId="5D8E9DFE" wp14:editId="72F1FD8C">
            <wp:extent cx="5222152" cy="4221433"/>
            <wp:effectExtent l="0" t="0" r="0" b="0"/>
            <wp:docPr id="2085776584" name="Obrázek 2085776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152" cy="42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FB6E9" w14:textId="0FB50F90" w:rsidR="3B6DDDA1" w:rsidRDefault="3B6DDDA1" w:rsidP="00B9B65E">
      <w:pPr>
        <w:spacing w:after="200"/>
        <w:jc w:val="both"/>
      </w:pPr>
      <w:r w:rsidRPr="00B9B65E">
        <w:rPr>
          <w:i/>
          <w:iCs/>
          <w:color w:val="595959" w:themeColor="text1" w:themeTint="A6"/>
          <w:sz w:val="18"/>
          <w:szCs w:val="18"/>
        </w:rPr>
        <w:t>Obrázek 1: Hranice Control Desku vs Service Desku</w:t>
      </w:r>
    </w:p>
    <w:p w14:paraId="40EFBC5A" w14:textId="282B4BE8" w:rsidR="3B6DDDA1" w:rsidRDefault="3B6DDDA1" w:rsidP="00B9B65E">
      <w:pPr>
        <w:jc w:val="both"/>
      </w:pPr>
      <w:r w:rsidRPr="00B9B65E">
        <w:rPr>
          <w:color w:val="595959" w:themeColor="text1" w:themeTint="A6"/>
        </w:rPr>
        <w:t>Cílová architektura (Control Desku i Service Desku):</w:t>
      </w:r>
    </w:p>
    <w:p w14:paraId="505E29BC" w14:textId="39A3651E" w:rsidR="3B6DDDA1" w:rsidRDefault="3B6DDDA1" w:rsidP="00B9B65E">
      <w:pPr>
        <w:spacing w:line="312" w:lineRule="auto"/>
        <w:ind w:left="85"/>
        <w:jc w:val="both"/>
      </w:pPr>
      <w:r>
        <w:rPr>
          <w:noProof/>
        </w:rPr>
        <w:drawing>
          <wp:inline distT="0" distB="0" distL="0" distR="0" wp14:anchorId="3F4EA5D7" wp14:editId="22AFBA49">
            <wp:extent cx="5765078" cy="3504762"/>
            <wp:effectExtent l="0" t="0" r="0" b="0"/>
            <wp:docPr id="833492054" name="Obrázek 83349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078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709C" w14:textId="3E044660" w:rsidR="00B9B65E" w:rsidRPr="00C44299" w:rsidRDefault="00C44299" w:rsidP="00C44299">
      <w:pPr>
        <w:spacing w:after="200"/>
        <w:jc w:val="both"/>
        <w:rPr>
          <w:i/>
          <w:iCs/>
          <w:color w:val="595959" w:themeColor="text1" w:themeTint="A6"/>
          <w:sz w:val="18"/>
          <w:szCs w:val="18"/>
        </w:rPr>
      </w:pPr>
      <w:r w:rsidRPr="00C44299">
        <w:rPr>
          <w:i/>
          <w:iCs/>
          <w:color w:val="595959" w:themeColor="text1" w:themeTint="A6"/>
          <w:sz w:val="18"/>
          <w:szCs w:val="18"/>
        </w:rPr>
        <w:t>Obrázek 2: Globální architektura Service Desku</w:t>
      </w:r>
    </w:p>
    <w:p w14:paraId="6D9C497C" w14:textId="1AE1CD92" w:rsidR="00B9B65E" w:rsidRDefault="00B9B65E" w:rsidP="00B9B65E">
      <w:pPr>
        <w:spacing w:line="312" w:lineRule="auto"/>
        <w:ind w:left="85"/>
        <w:jc w:val="both"/>
      </w:pPr>
    </w:p>
    <w:p w14:paraId="3C724AF8" w14:textId="0D82C8D5" w:rsidR="00F74596" w:rsidRPr="008B4E59" w:rsidRDefault="00F74596" w:rsidP="001E184F">
      <w:pPr>
        <w:spacing w:line="312" w:lineRule="auto"/>
        <w:ind w:right="1037"/>
        <w:jc w:val="right"/>
        <w:rPr>
          <w:color w:val="404040" w:themeColor="text1" w:themeTint="BF"/>
        </w:rPr>
      </w:pPr>
      <w:r w:rsidRPr="008B4E59">
        <w:rPr>
          <w:color w:val="404040" w:themeColor="text1" w:themeTint="BF"/>
        </w:rPr>
        <w:lastRenderedPageBreak/>
        <w:t xml:space="preserve"> </w:t>
      </w:r>
    </w:p>
    <w:p w14:paraId="07B2E4E3" w14:textId="77777777" w:rsidR="00F74596" w:rsidRPr="008B4E59" w:rsidRDefault="00F74596" w:rsidP="00AC4970">
      <w:pPr>
        <w:widowControl/>
        <w:numPr>
          <w:ilvl w:val="0"/>
          <w:numId w:val="23"/>
        </w:numPr>
        <w:autoSpaceDE/>
        <w:autoSpaceDN/>
        <w:spacing w:after="201" w:line="312" w:lineRule="auto"/>
        <w:ind w:hanging="284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Členění dílčích částí Plnění Termíny a obsah plnění jednotlivých dílčích částí Plnění  </w:t>
      </w:r>
    </w:p>
    <w:p w14:paraId="7503954E" w14:textId="77777777" w:rsidR="00F74596" w:rsidRPr="008B4E59" w:rsidRDefault="00F74596" w:rsidP="00AC4970">
      <w:pPr>
        <w:spacing w:after="215" w:line="312" w:lineRule="auto"/>
        <w:ind w:left="71" w:hanging="10"/>
        <w:rPr>
          <w:color w:val="404040" w:themeColor="text1" w:themeTint="BF"/>
        </w:rPr>
      </w:pPr>
      <w:r w:rsidRPr="008B4E59">
        <w:rPr>
          <w:color w:val="404040" w:themeColor="text1" w:themeTint="BF"/>
          <w:u w:val="single" w:color="595959"/>
        </w:rPr>
        <w:t xml:space="preserve">Dílčí část Plnění I do 28. 5. 2025 </w:t>
      </w:r>
      <w:r w:rsidRPr="008B4E59">
        <w:rPr>
          <w:color w:val="404040" w:themeColor="text1" w:themeTint="BF"/>
        </w:rPr>
        <w:t xml:space="preserve"> </w:t>
      </w:r>
    </w:p>
    <w:p w14:paraId="2583BE0F" w14:textId="77777777" w:rsidR="00F74596" w:rsidRPr="008B4E59" w:rsidRDefault="00F74596" w:rsidP="00AC4970">
      <w:pPr>
        <w:widowControl/>
        <w:numPr>
          <w:ilvl w:val="0"/>
          <w:numId w:val="24"/>
        </w:numPr>
        <w:autoSpaceDE/>
        <w:autoSpaceDN/>
        <w:spacing w:after="215" w:line="312" w:lineRule="auto"/>
        <w:ind w:hanging="426"/>
        <w:rPr>
          <w:color w:val="404040" w:themeColor="text1" w:themeTint="BF"/>
        </w:rPr>
      </w:pPr>
      <w:r w:rsidRPr="008B4E59">
        <w:rPr>
          <w:color w:val="404040" w:themeColor="text1" w:themeTint="BF"/>
          <w:u w:val="single" w:color="595959"/>
        </w:rPr>
        <w:t>příprava testovacího prostředí Control Desku, včetně API a CMDB</w:t>
      </w:r>
      <w:r w:rsidRPr="008B4E59">
        <w:rPr>
          <w:color w:val="404040" w:themeColor="text1" w:themeTint="BF"/>
        </w:rPr>
        <w:t xml:space="preserve"> </w:t>
      </w:r>
    </w:p>
    <w:p w14:paraId="4A1F0E81" w14:textId="77777777" w:rsidR="00F74596" w:rsidRPr="008B4E59" w:rsidRDefault="00F74596" w:rsidP="00AC4970">
      <w:pPr>
        <w:spacing w:after="107" w:line="312" w:lineRule="auto"/>
        <w:ind w:left="512" w:hanging="10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Hotová </w:t>
      </w:r>
      <w:r w:rsidRPr="008B4E59">
        <w:rPr>
          <w:b/>
          <w:color w:val="404040" w:themeColor="text1" w:themeTint="BF"/>
        </w:rPr>
        <w:t>instalace Control Desk v TEST prostředí</w:t>
      </w:r>
      <w:r w:rsidRPr="008B4E59">
        <w:rPr>
          <w:color w:val="404040" w:themeColor="text1" w:themeTint="BF"/>
        </w:rPr>
        <w:t xml:space="preserve"> I</w:t>
      </w:r>
    </w:p>
    <w:p w14:paraId="247C4887" w14:textId="77777777" w:rsidR="00F74596" w:rsidRPr="008B4E59" w:rsidRDefault="00F74596" w:rsidP="00E517F7">
      <w:pPr>
        <w:widowControl/>
        <w:numPr>
          <w:ilvl w:val="1"/>
          <w:numId w:val="24"/>
        </w:numPr>
        <w:autoSpaceDE/>
        <w:autoSpaceDN/>
        <w:spacing w:after="120" w:line="312" w:lineRule="auto"/>
        <w:ind w:left="783"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High availability, realizovaný v modelu Advanced Availability, včetně zajištění sdíleného uložiště pro konfigurační soubory (XML s formuláři, XML pro definici češtiny, přílohy mailů apod.) </w:t>
      </w:r>
    </w:p>
    <w:p w14:paraId="4EF71877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Multi tenantnost (tentant CMS a nadřazený „servisní“ Service Provider tenant) </w:t>
      </w:r>
    </w:p>
    <w:p w14:paraId="78727A9F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Implementovány všechny základní moduly Control Desku viz analýza </w:t>
      </w:r>
    </w:p>
    <w:p w14:paraId="5AD72D75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Aplikační servery </w:t>
      </w:r>
    </w:p>
    <w:p w14:paraId="0BF7B98C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Back-end servery </w:t>
      </w:r>
    </w:p>
    <w:p w14:paraId="3995F3BF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PAM servery</w:t>
      </w:r>
    </w:p>
    <w:p w14:paraId="48B4AF97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MDB databáze </w:t>
      </w:r>
    </w:p>
    <w:p w14:paraId="56C11F74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2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Implementované logování musí využívat CEF (Common Event Format), se zahrnutím ID tiketu. </w:t>
      </w:r>
    </w:p>
    <w:p w14:paraId="49E078AF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Integrace na Test AD  </w:t>
      </w:r>
    </w:p>
    <w:p w14:paraId="4382BFB8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2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Definovaná základní struktura CMDB (základní číselníky, business služby a jejich atributy, vazby mezi službami dle předaných podkladů) </w:t>
      </w:r>
    </w:p>
    <w:p w14:paraId="0A01D023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64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Definované API rozhraní – „API preprocesing modul“ ) </w:t>
      </w:r>
    </w:p>
    <w:p w14:paraId="029A7D79" w14:textId="77777777" w:rsidR="00F74596" w:rsidRPr="008B4E59" w:rsidRDefault="00F74596" w:rsidP="00AC4970">
      <w:pPr>
        <w:spacing w:after="190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K akceptaci této fáze musí být doloženy následující dokumentace: </w:t>
      </w:r>
    </w:p>
    <w:p w14:paraId="7BCC4B9E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LLD Control Desku k milníku </w:t>
      </w:r>
    </w:p>
    <w:p w14:paraId="677DE33C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Popis rozhraní „Preprocesing API“ – interface agreement </w:t>
      </w:r>
    </w:p>
    <w:p w14:paraId="638368DC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6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Popis oprávnění řešení CA SDM (všech modulů) a Preprocesing API – „on-boarding“ formulář </w:t>
      </w:r>
    </w:p>
    <w:p w14:paraId="435AA79F" w14:textId="77777777" w:rsidR="00F74596" w:rsidRPr="008B4E59" w:rsidRDefault="00F74596" w:rsidP="00AC4970">
      <w:pPr>
        <w:spacing w:after="93" w:line="312" w:lineRule="auto"/>
        <w:ind w:left="7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Hotová </w:t>
      </w:r>
      <w:r w:rsidRPr="008B4E59">
        <w:rPr>
          <w:b/>
          <w:color w:val="404040" w:themeColor="text1" w:themeTint="BF"/>
        </w:rPr>
        <w:t xml:space="preserve">implementace Control Desku v Test </w:t>
      </w:r>
      <w:r w:rsidRPr="008B4E59">
        <w:rPr>
          <w:color w:val="404040" w:themeColor="text1" w:themeTint="BF"/>
        </w:rPr>
        <w:t>prostředí I</w:t>
      </w:r>
    </w:p>
    <w:p w14:paraId="07DD6797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High availability ve dvou lokalitách (geocluster) </w:t>
      </w:r>
    </w:p>
    <w:p w14:paraId="53DBC3C0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6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Multi tenantnost (tentant CMS a nadřazený „servisní“ Service Provider tenant) </w:t>
      </w:r>
    </w:p>
    <w:p w14:paraId="30F189EC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Implementovány všechny základní moduly Control Desku viz analýza </w:t>
      </w:r>
    </w:p>
    <w:p w14:paraId="3D44EF29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Aplikační servery </w:t>
      </w:r>
    </w:p>
    <w:p w14:paraId="1897DC3A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Back-end servery </w:t>
      </w:r>
    </w:p>
    <w:p w14:paraId="14E858DE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PAM servery </w:t>
      </w:r>
    </w:p>
    <w:p w14:paraId="30A5EE2D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SDM databáze </w:t>
      </w:r>
    </w:p>
    <w:p w14:paraId="68AF10A8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Implementované provozní logování musí využívat CEF (Common Event Format), se zahrnutím ID tiketu a Session ID. </w:t>
      </w:r>
    </w:p>
    <w:p w14:paraId="1F1EF4D8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Integrace na AD CMS  </w:t>
      </w:r>
    </w:p>
    <w:p w14:paraId="01A3C6F5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2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lastRenderedPageBreak/>
        <w:t xml:space="preserve">Naimplementovaná kompletní struktura CMDB (základní číselníky, business služby a jejich atributy, vazby mezi službami, souhlasy dle dodaných podkladů) </w:t>
      </w:r>
    </w:p>
    <w:p w14:paraId="0314593C" w14:textId="77777777" w:rsidR="00F74596" w:rsidRPr="008B4E59" w:rsidRDefault="00F74596" w:rsidP="00AC4970">
      <w:pPr>
        <w:spacing w:after="98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Monitoring  </w:t>
      </w:r>
    </w:p>
    <w:p w14:paraId="3EAFF710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83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Publikace healthcheck stránek s měřením dostupnosti a kapacity </w:t>
      </w:r>
    </w:p>
    <w:p w14:paraId="7FA602DA" w14:textId="77777777" w:rsidR="00F74596" w:rsidRPr="008B4E59" w:rsidRDefault="00F74596" w:rsidP="00AC4970">
      <w:pPr>
        <w:spacing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K akceptaci této fáze musí být doloženy následující dokumentace: </w:t>
      </w:r>
    </w:p>
    <w:p w14:paraId="1EC85537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66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LLD Control Desku  </w:t>
      </w:r>
    </w:p>
    <w:p w14:paraId="0679E7BD" w14:textId="77777777" w:rsidR="00F74596" w:rsidRPr="008B4E59" w:rsidRDefault="00F74596" w:rsidP="00AC4970">
      <w:pPr>
        <w:spacing w:after="215" w:line="312" w:lineRule="auto"/>
        <w:ind w:left="71" w:hanging="10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  <w:r w:rsidRPr="008B4E59">
        <w:rPr>
          <w:color w:val="404040" w:themeColor="text1" w:themeTint="BF"/>
          <w:u w:val="single" w:color="595959"/>
        </w:rPr>
        <w:t xml:space="preserve">Dílčí část Plnění II do 28. 5. 2025 </w:t>
      </w:r>
      <w:r w:rsidRPr="008B4E59">
        <w:rPr>
          <w:color w:val="404040" w:themeColor="text1" w:themeTint="BF"/>
        </w:rPr>
        <w:t xml:space="preserve"> </w:t>
      </w:r>
    </w:p>
    <w:p w14:paraId="0DBBFF73" w14:textId="77777777" w:rsidR="00F74596" w:rsidRPr="008B4E59" w:rsidRDefault="00F74596" w:rsidP="00AC4970">
      <w:pPr>
        <w:spacing w:after="122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Hotová </w:t>
      </w:r>
      <w:r w:rsidRPr="008B4E59">
        <w:rPr>
          <w:b/>
          <w:bCs/>
          <w:color w:val="404040" w:themeColor="text1" w:themeTint="BF"/>
        </w:rPr>
        <w:t>instalace Control Desku v Test prostředí - II</w:t>
      </w:r>
    </w:p>
    <w:p w14:paraId="0043A4B1" w14:textId="77777777" w:rsidR="00F74596" w:rsidRPr="008B4E59" w:rsidRDefault="00F74596" w:rsidP="00DF2C6E">
      <w:pPr>
        <w:spacing w:after="122" w:line="312" w:lineRule="auto"/>
        <w:ind w:left="496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Nastavené a otestované API mezi Control Desk a Portálem, umožňující zakládání základních incidentů a požadavků. </w:t>
      </w:r>
    </w:p>
    <w:p w14:paraId="3E11B979" w14:textId="77777777" w:rsidR="00F74596" w:rsidRPr="008B4E59" w:rsidRDefault="00F74596" w:rsidP="00DF2C6E">
      <w:pPr>
        <w:widowControl/>
        <w:numPr>
          <w:ilvl w:val="0"/>
          <w:numId w:val="24"/>
        </w:numPr>
        <w:autoSpaceDE/>
        <w:autoSpaceDN/>
        <w:spacing w:after="123" w:line="312" w:lineRule="auto"/>
        <w:ind w:hanging="426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funkční Control Desk v testovacím prostředí v rozsahu celé CMS</w:t>
      </w:r>
      <w:r w:rsidRPr="008B4E59">
        <w:rPr>
          <w:color w:val="404040" w:themeColor="text1" w:themeTint="BF"/>
          <w:u w:val="single" w:color="595959"/>
        </w:rPr>
        <w:t xml:space="preserve"> </w:t>
      </w:r>
      <w:r w:rsidRPr="008B4E59">
        <w:rPr>
          <w:color w:val="404040" w:themeColor="text1" w:themeTint="BF"/>
        </w:rPr>
        <w:t>(Portál, Automatizace, Infrastruktura, Síť, které jsou poskytovány v rámci součinnosti)</w:t>
      </w:r>
      <w:r w:rsidRPr="008B4E59">
        <w:rPr>
          <w:color w:val="404040" w:themeColor="text1" w:themeTint="BF"/>
          <w:u w:val="single" w:color="595959"/>
        </w:rPr>
        <w:t xml:space="preserve"> </w:t>
      </w:r>
      <w:r w:rsidRPr="008B4E59">
        <w:rPr>
          <w:color w:val="404040" w:themeColor="text1" w:themeTint="BF"/>
        </w:rPr>
        <w:t>pro akceptaci tří základních business služeb</w:t>
      </w:r>
      <w:r w:rsidRPr="008B4E59">
        <w:rPr>
          <w:color w:val="404040" w:themeColor="text1" w:themeTint="BF"/>
          <w:u w:val="single" w:color="595959"/>
        </w:rPr>
        <w:t xml:space="preserve"> </w:t>
      </w:r>
      <w:r w:rsidRPr="008B4E59">
        <w:rPr>
          <w:color w:val="404040" w:themeColor="text1" w:themeTint="BF"/>
        </w:rPr>
        <w:t xml:space="preserve"> </w:t>
      </w:r>
    </w:p>
    <w:p w14:paraId="49052003" w14:textId="77777777" w:rsidR="00F74596" w:rsidRPr="008B4E59" w:rsidRDefault="00F74596" w:rsidP="00DF2C6E">
      <w:pPr>
        <w:spacing w:after="107" w:line="312" w:lineRule="auto"/>
        <w:ind w:left="496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Musí fungovat kompletní předvedení 3 business služeb (připojení do CMS, jedna varianta publikace aplikace, jedna varianta konzumace aplikace), od zadání požadavku na Portálu až po jeho automatický provisioning na infrastrukturní a síťová zařízení. </w:t>
      </w:r>
    </w:p>
    <w:p w14:paraId="64A9FF22" w14:textId="77777777" w:rsidR="00F74596" w:rsidRPr="008B4E59" w:rsidRDefault="00F74596" w:rsidP="00AC4970">
      <w:pPr>
        <w:spacing w:after="107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Hotová </w:t>
      </w:r>
      <w:r w:rsidRPr="008B4E59">
        <w:rPr>
          <w:b/>
          <w:color w:val="404040" w:themeColor="text1" w:themeTint="BF"/>
        </w:rPr>
        <w:t xml:space="preserve">implementace Control Desku v Test </w:t>
      </w:r>
      <w:r w:rsidRPr="008B4E59">
        <w:rPr>
          <w:color w:val="404040" w:themeColor="text1" w:themeTint="BF"/>
        </w:rPr>
        <w:t>prostředí II</w:t>
      </w:r>
    </w:p>
    <w:p w14:paraId="68ADB8B4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Implementace Katalogu služeb pro 3 základní služby </w:t>
      </w:r>
    </w:p>
    <w:p w14:paraId="6B93CD2B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83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Naimplementované API rozhraní – „API preprocesing modul“   </w:t>
      </w:r>
    </w:p>
    <w:p w14:paraId="2032ED86" w14:textId="77777777" w:rsidR="00F74596" w:rsidRPr="008B4E59" w:rsidRDefault="00F74596" w:rsidP="00AC4970">
      <w:pPr>
        <w:spacing w:after="98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integrace </w:t>
      </w:r>
    </w:p>
    <w:p w14:paraId="5CCEEDBE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a integrace s Portálem a Control Desk a CMDB </w:t>
      </w:r>
    </w:p>
    <w:p w14:paraId="0983777B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na AD CMS </w:t>
      </w:r>
    </w:p>
    <w:p w14:paraId="138B5AEA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46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a integrace Control Desk, CMDB s - evidencí </w:t>
      </w:r>
    </w:p>
    <w:p w14:paraId="642B8372" w14:textId="77777777" w:rsidR="00F74596" w:rsidRPr="008B4E59" w:rsidRDefault="00F74596" w:rsidP="00AC4970">
      <w:pPr>
        <w:spacing w:after="120" w:line="312" w:lineRule="auto"/>
        <w:ind w:left="71" w:hanging="10"/>
        <w:rPr>
          <w:color w:val="404040" w:themeColor="text1" w:themeTint="BF"/>
        </w:rPr>
      </w:pPr>
      <w:r w:rsidRPr="008B4E59">
        <w:rPr>
          <w:color w:val="404040" w:themeColor="text1" w:themeTint="BF"/>
          <w:u w:val="single" w:color="595959"/>
        </w:rPr>
        <w:t>Dílčí část Plnění III do 30. 6. 2025 – funkční Control Desk v produkčním prostředí v rozsahu celé CMS</w:t>
      </w:r>
      <w:r w:rsidRPr="008B4E59">
        <w:rPr>
          <w:color w:val="404040" w:themeColor="text1" w:themeTint="BF"/>
        </w:rPr>
        <w:t xml:space="preserve"> (Portál, Automatizace, Infrastruktura, Síť, které jsou poskytovány v rámci součinnosti)</w:t>
      </w:r>
      <w:r w:rsidRPr="008B4E59">
        <w:rPr>
          <w:color w:val="404040" w:themeColor="text1" w:themeTint="BF"/>
          <w:u w:val="single" w:color="595959"/>
        </w:rPr>
        <w:t xml:space="preserve"> pro akceptaci tří</w:t>
      </w:r>
      <w:r w:rsidRPr="008B4E59">
        <w:rPr>
          <w:color w:val="404040" w:themeColor="text1" w:themeTint="BF"/>
        </w:rPr>
        <w:t xml:space="preserve"> </w:t>
      </w:r>
      <w:r w:rsidRPr="008B4E59">
        <w:rPr>
          <w:color w:val="404040" w:themeColor="text1" w:themeTint="BF"/>
          <w:u w:val="single" w:color="595959"/>
        </w:rPr>
        <w:t xml:space="preserve">základních business služeb </w:t>
      </w:r>
      <w:r w:rsidRPr="008B4E59">
        <w:rPr>
          <w:color w:val="404040" w:themeColor="text1" w:themeTint="BF"/>
        </w:rPr>
        <w:t xml:space="preserve"> </w:t>
      </w:r>
    </w:p>
    <w:p w14:paraId="745E8E58" w14:textId="77777777" w:rsidR="00F74596" w:rsidRPr="008B4E59" w:rsidRDefault="00F74596" w:rsidP="00DF2C6E">
      <w:pPr>
        <w:spacing w:after="113" w:line="312" w:lineRule="auto"/>
        <w:ind w:left="8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Musí fungovat kompletní předvedení 3 business služeb (připojení do CMS, jedna varianta publikace aplikace, jedna varianta konzumace aplikace), od zadání požadavku na Portálu až po jeho automatický provisioning na infrastrukturní a síťová zařízení. </w:t>
      </w:r>
    </w:p>
    <w:p w14:paraId="6A87AF51" w14:textId="77777777" w:rsidR="00F74596" w:rsidRPr="008B4E59" w:rsidRDefault="00F74596" w:rsidP="00AC4970">
      <w:pPr>
        <w:spacing w:after="229" w:line="312" w:lineRule="auto"/>
        <w:ind w:left="86" w:hanging="10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Hotová </w:t>
      </w:r>
      <w:r w:rsidRPr="008B4E59">
        <w:rPr>
          <w:b/>
          <w:color w:val="404040" w:themeColor="text1" w:themeTint="BF"/>
        </w:rPr>
        <w:t xml:space="preserve">implementace Control Desku v Prod </w:t>
      </w:r>
      <w:r w:rsidRPr="008B4E59">
        <w:rPr>
          <w:color w:val="404040" w:themeColor="text1" w:themeTint="BF"/>
        </w:rPr>
        <w:t xml:space="preserve">prostředí </w:t>
      </w:r>
    </w:p>
    <w:p w14:paraId="725D9F3F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High availability ve dvou lokalitách (geocluster) </w:t>
      </w:r>
    </w:p>
    <w:p w14:paraId="0CB33883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Multi tenantnost (tentant CMS a nadřazený „servisní“ Service Provider tenant) </w:t>
      </w:r>
    </w:p>
    <w:p w14:paraId="528BC08C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Implementovány všechny základní moduly Control Desku viz analýza</w:t>
      </w:r>
    </w:p>
    <w:p w14:paraId="56669539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lastRenderedPageBreak/>
        <w:t xml:space="preserve">Aplikační servery </w:t>
      </w:r>
    </w:p>
    <w:p w14:paraId="387787CB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Back-end servery</w:t>
      </w:r>
    </w:p>
    <w:p w14:paraId="5CA159A6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PAM servery</w:t>
      </w:r>
    </w:p>
    <w:p w14:paraId="34F92C84" w14:textId="77777777" w:rsidR="00F74596" w:rsidRPr="008B4E59" w:rsidRDefault="00F74596" w:rsidP="00AC4970">
      <w:pPr>
        <w:widowControl/>
        <w:numPr>
          <w:ilvl w:val="2"/>
          <w:numId w:val="24"/>
        </w:numPr>
        <w:autoSpaceDE/>
        <w:autoSpaceDN/>
        <w:spacing w:after="35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SDM databáze </w:t>
      </w:r>
    </w:p>
    <w:p w14:paraId="562D9D6B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Implementované provozní logování musí využívat CEF (Common Event Format), se zahrnutím ID tiketu a Session ID. </w:t>
      </w:r>
    </w:p>
    <w:p w14:paraId="2EFCE711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Integrace na AD CMS  </w:t>
      </w:r>
    </w:p>
    <w:p w14:paraId="37393ECF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4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Naimplementovaná kompletní struktura CMDB (základní číselníky, business služby a jejich atributy, vazby mezi službami, souhlasy dle dodaných podkladů) </w:t>
      </w:r>
    </w:p>
    <w:p w14:paraId="2A2B578E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Implementace Katalogu služeb pro 3 základní služby </w:t>
      </w:r>
    </w:p>
    <w:p w14:paraId="5BCA9995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03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Naimplementované API rozhraní – „API preprocesing modul“   </w:t>
      </w:r>
    </w:p>
    <w:p w14:paraId="0672CF69" w14:textId="77777777" w:rsidR="00F74596" w:rsidRPr="008B4E59" w:rsidRDefault="00F74596" w:rsidP="00AC4970">
      <w:pPr>
        <w:spacing w:after="98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Funkční integrace </w:t>
      </w:r>
    </w:p>
    <w:p w14:paraId="7D8BA04B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a integrace s Portálem a Control Desk a CMDB </w:t>
      </w:r>
    </w:p>
    <w:p w14:paraId="70916371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na AD CMS </w:t>
      </w:r>
    </w:p>
    <w:p w14:paraId="14A0CC2E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164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a integrace Control Desk, CMDB s a evidencí </w:t>
      </w:r>
    </w:p>
    <w:p w14:paraId="77C5CA5D" w14:textId="77777777" w:rsidR="00F74596" w:rsidRPr="008B4E59" w:rsidRDefault="00F74596" w:rsidP="00AC4970">
      <w:pPr>
        <w:spacing w:after="97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Monitoring  </w:t>
      </w:r>
    </w:p>
    <w:p w14:paraId="79F140D3" w14:textId="77777777" w:rsidR="00F74596" w:rsidRPr="008B4E59" w:rsidRDefault="00F74596" w:rsidP="00AC4970">
      <w:pPr>
        <w:widowControl/>
        <w:numPr>
          <w:ilvl w:val="1"/>
          <w:numId w:val="24"/>
        </w:numPr>
        <w:autoSpaceDE/>
        <w:autoSpaceDN/>
        <w:spacing w:after="203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Publikace healthcheck stránek s měřením dostupnosti a kapacity </w:t>
      </w:r>
    </w:p>
    <w:p w14:paraId="3750E659" w14:textId="77777777" w:rsidR="00F74596" w:rsidRPr="008B4E59" w:rsidRDefault="00F74596" w:rsidP="00AC4970">
      <w:pPr>
        <w:spacing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K akceptaci této fáze musí být doloženy následující dokumentace: </w:t>
      </w:r>
    </w:p>
    <w:p w14:paraId="35A1BC60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275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LLD Control Desku  </w:t>
      </w:r>
    </w:p>
    <w:p w14:paraId="18C472C3" w14:textId="77777777" w:rsidR="00F74596" w:rsidRPr="008B4E59" w:rsidRDefault="00F74596" w:rsidP="00AC4970">
      <w:pPr>
        <w:spacing w:after="215" w:line="312" w:lineRule="auto"/>
        <w:ind w:left="71" w:hanging="10"/>
        <w:rPr>
          <w:color w:val="404040" w:themeColor="text1" w:themeTint="BF"/>
        </w:rPr>
      </w:pPr>
      <w:r w:rsidRPr="008B4E59">
        <w:rPr>
          <w:color w:val="404040" w:themeColor="text1" w:themeTint="BF"/>
          <w:u w:val="single" w:color="595959"/>
        </w:rPr>
        <w:t>Dílčí část Plnění IV do 31. 12. 2025 - implementace všech business služeb a rollout</w:t>
      </w:r>
      <w:r w:rsidRPr="008B4E59">
        <w:rPr>
          <w:color w:val="404040" w:themeColor="text1" w:themeTint="BF"/>
        </w:rPr>
        <w:t xml:space="preserve"> </w:t>
      </w:r>
    </w:p>
    <w:p w14:paraId="43736C0B" w14:textId="77777777" w:rsidR="00F74596" w:rsidRPr="008B4E59" w:rsidRDefault="00F74596" w:rsidP="00AC4970">
      <w:pPr>
        <w:spacing w:after="85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Do konce roku 2025 bude probíhat implementace všech zbylých business služeb CMS 2.5, </w:t>
      </w:r>
    </w:p>
    <w:p w14:paraId="3E04CD98" w14:textId="77777777" w:rsidR="00F74596" w:rsidRPr="008B4E59" w:rsidRDefault="00F74596" w:rsidP="00AC4970">
      <w:pPr>
        <w:spacing w:after="120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„synchronizace“ perimetru CMS 2.0/CMS 2.5, rollout (migrace služeb MV a DIA). V Q4/2025 bude spuštěn Portál CMS a Control Desk do pilotního režimu, kdy uživatelé již budou žádat o služby v novém rozhraní. </w:t>
      </w:r>
    </w:p>
    <w:p w14:paraId="595013C3" w14:textId="77777777" w:rsidR="00F74596" w:rsidRPr="008B4E59" w:rsidRDefault="00F74596" w:rsidP="00AC4970">
      <w:pPr>
        <w:spacing w:after="208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Proběhne implementace následujících funkcionalit </w:t>
      </w:r>
    </w:p>
    <w:p w14:paraId="70130DFB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84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Implementace všech modulů Control Desk definovaných v LLD k 31.7.2025 (pro období do 31. 12. 2025) </w:t>
      </w:r>
    </w:p>
    <w:p w14:paraId="260C56D6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84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Implementace a integrace na všechny podpůrné SW uvedené v LLD k 31.7.2025 (pro období do 31. 12. 2025) </w:t>
      </w:r>
    </w:p>
    <w:p w14:paraId="426C24F0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20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Nastavení oprávnění podle LLD („on-boarding“ formulář, soulad s ZoKB/VyKB) </w:t>
      </w:r>
    </w:p>
    <w:p w14:paraId="49D1D2D2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22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Napojeni a Integrace na RPP s CMDB </w:t>
      </w:r>
    </w:p>
    <w:p w14:paraId="11918EA5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Napojeni a integrace s NRM s CMDB </w:t>
      </w:r>
    </w:p>
    <w:p w14:paraId="181A06F1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Nastavení řízení životního cyklu komponent Control Desku pomocí Azure DevOps CI/CD </w:t>
      </w:r>
    </w:p>
    <w:p w14:paraId="39890B77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13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lastRenderedPageBreak/>
        <w:t xml:space="preserve">Filtrace služeb při načítání služeb z katalogu dle vstupních parametrů subjektu, včetně řešení závislostí business služeb </w:t>
      </w:r>
    </w:p>
    <w:p w14:paraId="5989ABBF" w14:textId="14CBD356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13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>Nastavení monitoringu (Provozní, bezpečnostní i kapacitní), včetně definice period měření a</w:t>
      </w:r>
      <w:r w:rsidR="00F76A39">
        <w:rPr>
          <w:color w:val="404040" w:themeColor="text1" w:themeTint="BF"/>
        </w:rPr>
        <w:t> </w:t>
      </w:r>
      <w:r w:rsidRPr="008B4E59">
        <w:rPr>
          <w:color w:val="404040" w:themeColor="text1" w:themeTint="BF"/>
        </w:rPr>
        <w:t xml:space="preserve">prahových hodnot měřených událostí </w:t>
      </w:r>
    </w:p>
    <w:p w14:paraId="118E9E39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Nastavení konzistentního zálohování aplikace CA SDM i MS SQL </w:t>
      </w:r>
    </w:p>
    <w:p w14:paraId="2758B066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Naimplementována kompletní struktura konfiguračních položek pro CMS 2.5 v CMDB </w:t>
      </w:r>
    </w:p>
    <w:p w14:paraId="1073FBAB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Naplnění instancí business služeb CMS 2.5 parametry CMS 2.0 </w:t>
      </w:r>
    </w:p>
    <w:p w14:paraId="4C8A94F4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Zajištění plně funkčního logování bezpečnostních událostí (schváleno odd.Bezpečnosti) </w:t>
      </w:r>
    </w:p>
    <w:p w14:paraId="7B813991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57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Vytvoření testovacích scénářů </w:t>
      </w:r>
    </w:p>
    <w:p w14:paraId="278A6338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164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Napojení ArcSight DCeGOV  </w:t>
      </w:r>
    </w:p>
    <w:p w14:paraId="030D126C" w14:textId="77777777" w:rsidR="00F74596" w:rsidRPr="008B4E59" w:rsidRDefault="00F74596" w:rsidP="00AC4970">
      <w:pPr>
        <w:spacing w:after="203" w:line="312" w:lineRule="auto"/>
        <w:ind w:left="49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  <w:r w:rsidRPr="008B4E59">
        <w:rPr>
          <w:color w:val="404040" w:themeColor="text1" w:themeTint="BF"/>
        </w:rPr>
        <w:tab/>
        <w:t xml:space="preserve">Prototyp integrace na externí systémy (RPP, Semafor publikátora) a jejich začlenění do CMDB. </w:t>
      </w:r>
    </w:p>
    <w:p w14:paraId="278859C1" w14:textId="77777777" w:rsidR="00F74596" w:rsidRPr="008B4E59" w:rsidRDefault="00F74596" w:rsidP="00AC4970">
      <w:pPr>
        <w:spacing w:line="312" w:lineRule="auto"/>
        <w:ind w:left="7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</w:p>
    <w:p w14:paraId="34E81483" w14:textId="77777777" w:rsidR="00F74596" w:rsidRPr="008B4E59" w:rsidRDefault="00F74596" w:rsidP="00AC4970">
      <w:pPr>
        <w:spacing w:after="98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Rollout </w:t>
      </w:r>
    </w:p>
    <w:p w14:paraId="4667B670" w14:textId="77777777" w:rsidR="00F74596" w:rsidRPr="008B4E59" w:rsidRDefault="00F74596" w:rsidP="00AC4970">
      <w:pPr>
        <w:widowControl/>
        <w:numPr>
          <w:ilvl w:val="0"/>
          <w:numId w:val="25"/>
        </w:numPr>
        <w:autoSpaceDE/>
        <w:autoSpaceDN/>
        <w:spacing w:after="148" w:line="312" w:lineRule="auto"/>
        <w:ind w:hanging="29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Součinnost při synchronizaci systému CMS 2.0 a CMS 2.5 </w:t>
      </w:r>
      <w:r w:rsidRPr="008B4E59">
        <w:rPr>
          <w:rFonts w:ascii="Segoe UI Symbol" w:eastAsia="Segoe UI Symbol" w:hAnsi="Segoe UI Symbol" w:cs="Segoe UI Symbol"/>
          <w:color w:val="404040" w:themeColor="text1" w:themeTint="BF"/>
        </w:rPr>
        <w:t>•</w:t>
      </w:r>
      <w:r w:rsidRPr="008B4E59">
        <w:rPr>
          <w:color w:val="404040" w:themeColor="text1" w:themeTint="BF"/>
        </w:rPr>
        <w:t xml:space="preserve"> Součinnost při připojování vybraných Subjektů (MV a DIA) </w:t>
      </w:r>
    </w:p>
    <w:p w14:paraId="13CEC028" w14:textId="77777777" w:rsidR="00F74596" w:rsidRPr="008B4E59" w:rsidRDefault="00F74596" w:rsidP="00AC4970">
      <w:pPr>
        <w:spacing w:after="93" w:line="312" w:lineRule="auto"/>
        <w:ind w:left="7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</w:p>
    <w:p w14:paraId="7DAE6D5C" w14:textId="77777777" w:rsidR="00F74596" w:rsidRPr="008B4E59" w:rsidRDefault="00F74596" w:rsidP="00AC4970">
      <w:pPr>
        <w:spacing w:after="83" w:line="312" w:lineRule="auto"/>
        <w:ind w:left="85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K akceptaci této fáze musí být doloženy následující dokumentace: </w:t>
      </w:r>
    </w:p>
    <w:p w14:paraId="27A6506B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Dokumentace skutečného provedení </w:t>
      </w:r>
    </w:p>
    <w:p w14:paraId="3267E539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Bezpečnostní dokumentace </w:t>
      </w:r>
    </w:p>
    <w:p w14:paraId="56D19911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Administrátorská dokumentace </w:t>
      </w:r>
    </w:p>
    <w:p w14:paraId="41EA0774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21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Uživatelská dokumentace </w:t>
      </w:r>
    </w:p>
    <w:p w14:paraId="4A2CC4A8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Dokumentace k DR a recovery </w:t>
      </w:r>
    </w:p>
    <w:p w14:paraId="328140DE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199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Postup přípravy a provedení refreše testovacího prostředí z produkčního prostředí, včetně anonymizace a importu dat </w:t>
      </w:r>
    </w:p>
    <w:p w14:paraId="23A24457" w14:textId="77777777" w:rsidR="00F74596" w:rsidRPr="008B4E59" w:rsidRDefault="00F74596" w:rsidP="00AC4970">
      <w:pPr>
        <w:spacing w:after="87" w:line="312" w:lineRule="auto"/>
        <w:ind w:left="76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 </w:t>
      </w:r>
    </w:p>
    <w:p w14:paraId="23248038" w14:textId="77777777" w:rsidR="00F74596" w:rsidRPr="008B4E59" w:rsidRDefault="00F74596" w:rsidP="00AC4970">
      <w:pPr>
        <w:spacing w:after="99" w:line="312" w:lineRule="auto"/>
        <w:ind w:left="71" w:hanging="10"/>
        <w:rPr>
          <w:color w:val="404040" w:themeColor="text1" w:themeTint="BF"/>
        </w:rPr>
      </w:pPr>
      <w:r w:rsidRPr="008B4E59">
        <w:rPr>
          <w:color w:val="404040" w:themeColor="text1" w:themeTint="BF"/>
          <w:u w:val="single" w:color="595959"/>
        </w:rPr>
        <w:t>Dílčí část Plnění V do 31. 12.  2025 - odborné předání a nasazení systému Control Desk do provozu</w:t>
      </w:r>
      <w:r w:rsidRPr="008B4E59">
        <w:rPr>
          <w:color w:val="404040" w:themeColor="text1" w:themeTint="BF"/>
        </w:rPr>
        <w:t xml:space="preserve"> </w:t>
      </w:r>
    </w:p>
    <w:p w14:paraId="4A57AA2D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1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Úspěšně provedené performance testy – předmětem plnění dle této Smlouvy je specifikace testovacích scénářů </w:t>
      </w:r>
    </w:p>
    <w:p w14:paraId="20286547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13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Úspěšně provedené penetrační testy – předmětem plnění dle této Smlouvy je specifikace testovacích scénářů  </w:t>
      </w:r>
    </w:p>
    <w:p w14:paraId="48C221F8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Úspěšně provedené akceptační testy </w:t>
      </w:r>
    </w:p>
    <w:p w14:paraId="5A9E0461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Dodaná finální sada testovacích scénářů </w:t>
      </w:r>
    </w:p>
    <w:p w14:paraId="7B1ADC8B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Dodaná finální sada dokumentace projektu </w:t>
      </w:r>
    </w:p>
    <w:p w14:paraId="508BC27F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3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Předání všech zdrojových kódů customizací CA SDM v.17 pro provoz v resortu MV </w:t>
      </w:r>
    </w:p>
    <w:p w14:paraId="1CB161AC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57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Předání všech zdrojových kódů preprocesing API pro provoz Control Desku </w:t>
      </w:r>
    </w:p>
    <w:p w14:paraId="5BFCCDA9" w14:textId="77777777" w:rsidR="00F74596" w:rsidRPr="008B4E59" w:rsidRDefault="00F74596" w:rsidP="00AC4970">
      <w:pPr>
        <w:widowControl/>
        <w:numPr>
          <w:ilvl w:val="0"/>
          <w:numId w:val="26"/>
        </w:numPr>
        <w:autoSpaceDE/>
        <w:autoSpaceDN/>
        <w:spacing w:after="152" w:line="312" w:lineRule="auto"/>
        <w:ind w:hanging="294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lastRenderedPageBreak/>
        <w:t xml:space="preserve">Předání zdrojových kódů všech provedených zákaznických úprav </w:t>
      </w:r>
      <w:r w:rsidRPr="008B4E59">
        <w:rPr>
          <w:rFonts w:ascii="Segoe UI Symbol" w:eastAsia="Segoe UI Symbol" w:hAnsi="Segoe UI Symbol" w:cs="Segoe UI Symbol"/>
          <w:color w:val="404040" w:themeColor="text1" w:themeTint="BF"/>
        </w:rPr>
        <w:t>•</w:t>
      </w:r>
      <w:r w:rsidRPr="008B4E59">
        <w:rPr>
          <w:color w:val="404040" w:themeColor="text1" w:themeTint="BF"/>
        </w:rPr>
        <w:t xml:space="preserve"> Předání do provozu a podpory Control Desk </w:t>
      </w:r>
    </w:p>
    <w:p w14:paraId="0C6AC5DB" w14:textId="77777777" w:rsidR="00F74596" w:rsidRPr="008B4E59" w:rsidRDefault="00F74596" w:rsidP="00AC4970">
      <w:pPr>
        <w:spacing w:after="95" w:line="312" w:lineRule="auto"/>
        <w:ind w:left="76"/>
        <w:rPr>
          <w:color w:val="404040" w:themeColor="text1" w:themeTint="BF"/>
        </w:rPr>
      </w:pPr>
      <w:r w:rsidRPr="008B4E59">
        <w:rPr>
          <w:b/>
          <w:color w:val="404040" w:themeColor="text1" w:themeTint="BF"/>
        </w:rPr>
        <w:t xml:space="preserve"> </w:t>
      </w:r>
    </w:p>
    <w:p w14:paraId="773526E4" w14:textId="77777777" w:rsidR="00F74596" w:rsidRPr="008B4E59" w:rsidRDefault="00F74596" w:rsidP="00F76A39">
      <w:pPr>
        <w:spacing w:line="312" w:lineRule="auto"/>
        <w:ind w:left="85"/>
        <w:jc w:val="both"/>
        <w:rPr>
          <w:color w:val="404040" w:themeColor="text1" w:themeTint="BF"/>
        </w:rPr>
      </w:pPr>
      <w:r w:rsidRPr="008B4E59">
        <w:rPr>
          <w:color w:val="404040" w:themeColor="text1" w:themeTint="BF"/>
        </w:rPr>
        <w:t xml:space="preserve">Pro vyloučení pochybností se sjednává, že jednotlivé položky uvedené výše v rámci specifikace jednotlivých dílčích částí Plnění jsou zároveň akceptačními kritérii těchto dílčích částí Plnění.  </w:t>
      </w:r>
    </w:p>
    <w:bookmarkEnd w:id="1"/>
    <w:p w14:paraId="2FB6C68A" w14:textId="77777777" w:rsidR="00274388" w:rsidRPr="008B4E59" w:rsidRDefault="00274388" w:rsidP="00AC4970">
      <w:pPr>
        <w:spacing w:after="92" w:line="312" w:lineRule="auto"/>
        <w:ind w:left="76"/>
        <w:rPr>
          <w:b/>
          <w:color w:val="404040" w:themeColor="text1" w:themeTint="BF"/>
        </w:rPr>
      </w:pPr>
    </w:p>
    <w:sectPr w:rsidR="00274388" w:rsidRPr="008B4E59">
      <w:pgSz w:w="11910" w:h="16840"/>
      <w:pgMar w:top="2000" w:right="72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FD9C" w14:textId="77777777" w:rsidR="00644166" w:rsidRDefault="00644166">
      <w:r>
        <w:separator/>
      </w:r>
    </w:p>
  </w:endnote>
  <w:endnote w:type="continuationSeparator" w:id="0">
    <w:p w14:paraId="3B513BCC" w14:textId="77777777" w:rsidR="00644166" w:rsidRDefault="00644166">
      <w:r>
        <w:continuationSeparator/>
      </w:r>
    </w:p>
  </w:endnote>
  <w:endnote w:type="continuationNotice" w:id="1">
    <w:p w14:paraId="79582EAA" w14:textId="77777777" w:rsidR="00644166" w:rsidRDefault="00644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1509" w14:textId="0BFE213D" w:rsidR="00BC64B5" w:rsidRDefault="00BC64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4DDDEE" wp14:editId="77C122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3886187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193EE" w14:textId="7334CE86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C64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DDD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textbox style="mso-fit-shape-to-text:t" inset="0,0,0,15pt">
                <w:txbxContent>
                  <w:p w14:paraId="102193EE" w14:textId="7334CE86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C64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254F" w14:textId="46566730" w:rsidR="00915F23" w:rsidRDefault="00BC64B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BC17EE4" wp14:editId="61C5EE7C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0127487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BEA2D" w14:textId="1A1B8B0A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17EE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textbox style="mso-fit-shape-to-text:t" inset="0,0,0,15pt">
                <w:txbxContent>
                  <w:p w14:paraId="312BEA2D" w14:textId="1A1B8B0A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3E4DE7" wp14:editId="173F8A89">
              <wp:simplePos x="0" y="0"/>
              <wp:positionH relativeFrom="page">
                <wp:posOffset>6856221</wp:posOffset>
              </wp:positionH>
              <wp:positionV relativeFrom="page">
                <wp:posOffset>10048061</wp:posOffset>
              </wp:positionV>
              <wp:extent cx="2171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0B58B" w14:textId="41B50C54" w:rsidR="00915F23" w:rsidRDefault="00BC64B5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27966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3E4DE7" id="Textbox 2" o:spid="_x0000_s1028" type="#_x0000_t202" style="position:absolute;margin-left:539.85pt;margin-top:791.2pt;width:17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eClwEAACEDAAAOAAAAZHJzL2Uyb0RvYy54bWysUsGO0zAQvSPxD5bv1EkFL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" filled="f" stroked="f">
              <v:textbox inset="0,0,0,0">
                <w:txbxContent>
                  <w:p w14:paraId="0830B58B" w14:textId="41B50C54" w:rsidR="00915F23" w:rsidRDefault="00BC64B5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D27966">
                      <w:rPr>
                        <w:rFonts w:ascii="Calibri"/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BB267A8" wp14:editId="063F9996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329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DA989" w14:textId="484F7AE9" w:rsidR="00915F23" w:rsidRDefault="00915F23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267A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60.65pt;margin-top:815.9pt;width:72.7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" filled="f" stroked="f">
              <v:textbox inset="0,0,0,0">
                <w:txbxContent>
                  <w:p w14:paraId="621DA989" w14:textId="484F7AE9" w:rsidR="00915F23" w:rsidRDefault="00915F23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BB3D" w14:textId="729697E1" w:rsidR="00BC64B5" w:rsidRDefault="00BC64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4D786B" wp14:editId="18431B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539015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FE46C" w14:textId="534ABC1B" w:rsidR="00BC64B5" w:rsidRPr="00BC64B5" w:rsidRDefault="00BC64B5" w:rsidP="00BC64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C64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D78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27DFE46C" w14:textId="534ABC1B" w:rsidR="00BC64B5" w:rsidRPr="00BC64B5" w:rsidRDefault="00BC64B5" w:rsidP="00BC64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C64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BED8" w14:textId="77777777" w:rsidR="00644166" w:rsidRDefault="00644166">
      <w:r>
        <w:separator/>
      </w:r>
    </w:p>
  </w:footnote>
  <w:footnote w:type="continuationSeparator" w:id="0">
    <w:p w14:paraId="7AF90954" w14:textId="77777777" w:rsidR="00644166" w:rsidRDefault="00644166">
      <w:r>
        <w:continuationSeparator/>
      </w:r>
    </w:p>
  </w:footnote>
  <w:footnote w:type="continuationNotice" w:id="1">
    <w:p w14:paraId="5F359B8E" w14:textId="77777777" w:rsidR="00644166" w:rsidRDefault="00644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EEED" w14:textId="27371176" w:rsidR="00915F23" w:rsidRDefault="00A53C93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793BF76C" wp14:editId="1FB81F90">
          <wp:simplePos x="0" y="0"/>
          <wp:positionH relativeFrom="column">
            <wp:posOffset>3360420</wp:posOffset>
          </wp:positionH>
          <wp:positionV relativeFrom="paragraph">
            <wp:posOffset>-38735</wp:posOffset>
          </wp:positionV>
          <wp:extent cx="1334770" cy="364490"/>
          <wp:effectExtent l="0" t="0" r="0" b="0"/>
          <wp:wrapThrough wrapText="bothSides">
            <wp:wrapPolygon edited="0">
              <wp:start x="0" y="0"/>
              <wp:lineTo x="0" y="20321"/>
              <wp:lineTo x="21271" y="20321"/>
              <wp:lineTo x="21271" y="0"/>
              <wp:lineTo x="0" y="0"/>
            </wp:wrapPolygon>
          </wp:wrapThrough>
          <wp:docPr id="994842433" name="Obrázek 9948424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58248" behindDoc="0" locked="0" layoutInCell="1" allowOverlap="1" wp14:anchorId="5EE54C8E" wp14:editId="41C738C1">
          <wp:simplePos x="0" y="0"/>
          <wp:positionH relativeFrom="page">
            <wp:posOffset>5486400</wp:posOffset>
          </wp:positionH>
          <wp:positionV relativeFrom="page">
            <wp:posOffset>411480</wp:posOffset>
          </wp:positionV>
          <wp:extent cx="1104900" cy="326989"/>
          <wp:effectExtent l="0" t="0" r="0" b="0"/>
          <wp:wrapNone/>
          <wp:docPr id="967607217" name="Obrázek 9676072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26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761"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BA1BBC" wp14:editId="08E37736">
          <wp:simplePos x="0" y="0"/>
          <wp:positionH relativeFrom="column">
            <wp:posOffset>1628140</wp:posOffset>
          </wp:positionH>
          <wp:positionV relativeFrom="paragraph">
            <wp:posOffset>-100965</wp:posOffset>
          </wp:positionV>
          <wp:extent cx="1495425" cy="518160"/>
          <wp:effectExtent l="0" t="0" r="9525" b="0"/>
          <wp:wrapTight wrapText="bothSides">
            <wp:wrapPolygon edited="0">
              <wp:start x="0" y="0"/>
              <wp:lineTo x="0" y="20647"/>
              <wp:lineTo x="21462" y="20647"/>
              <wp:lineTo x="21462" y="0"/>
              <wp:lineTo x="0" y="0"/>
            </wp:wrapPolygon>
          </wp:wrapTight>
          <wp:docPr id="1449482526" name="Obrázek 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6962CE15" wp14:editId="307FAB31">
          <wp:simplePos x="0" y="0"/>
          <wp:positionH relativeFrom="column">
            <wp:posOffset>-76200</wp:posOffset>
          </wp:positionH>
          <wp:positionV relativeFrom="paragraph">
            <wp:posOffset>-38735</wp:posOffset>
          </wp:positionV>
          <wp:extent cx="1524000" cy="456384"/>
          <wp:effectExtent l="0" t="0" r="0" b="1270"/>
          <wp:wrapThrough wrapText="bothSides">
            <wp:wrapPolygon edited="0">
              <wp:start x="0" y="0"/>
              <wp:lineTo x="0" y="20758"/>
              <wp:lineTo x="8640" y="20758"/>
              <wp:lineTo x="19170" y="19855"/>
              <wp:lineTo x="21060" y="18953"/>
              <wp:lineTo x="20790" y="9928"/>
              <wp:lineTo x="18630" y="1805"/>
              <wp:lineTo x="16740" y="0"/>
              <wp:lineTo x="0" y="0"/>
            </wp:wrapPolygon>
          </wp:wrapThrough>
          <wp:docPr id="206351863" name="Obrázek 20635186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48F"/>
    <w:multiLevelType w:val="hybridMultilevel"/>
    <w:tmpl w:val="331E900C"/>
    <w:lvl w:ilvl="0" w:tplc="A31CF3EC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369C6F64">
      <w:numFmt w:val="bullet"/>
      <w:lvlText w:val="•"/>
      <w:lvlJc w:val="left"/>
      <w:pPr>
        <w:ind w:left="1952" w:hanging="360"/>
      </w:pPr>
      <w:rPr>
        <w:rFonts w:hint="default"/>
        <w:lang w:val="cs-CZ" w:eastAsia="en-US" w:bidi="ar-SA"/>
      </w:rPr>
    </w:lvl>
    <w:lvl w:ilvl="2" w:tplc="ADE4B194">
      <w:numFmt w:val="bullet"/>
      <w:lvlText w:val="•"/>
      <w:lvlJc w:val="left"/>
      <w:pPr>
        <w:ind w:left="2865" w:hanging="360"/>
      </w:pPr>
      <w:rPr>
        <w:rFonts w:hint="default"/>
        <w:lang w:val="cs-CZ" w:eastAsia="en-US" w:bidi="ar-SA"/>
      </w:rPr>
    </w:lvl>
    <w:lvl w:ilvl="3" w:tplc="2CE00CBC">
      <w:numFmt w:val="bullet"/>
      <w:lvlText w:val="•"/>
      <w:lvlJc w:val="left"/>
      <w:pPr>
        <w:ind w:left="3777" w:hanging="360"/>
      </w:pPr>
      <w:rPr>
        <w:rFonts w:hint="default"/>
        <w:lang w:val="cs-CZ" w:eastAsia="en-US" w:bidi="ar-SA"/>
      </w:rPr>
    </w:lvl>
    <w:lvl w:ilvl="4" w:tplc="EDAA339A">
      <w:numFmt w:val="bullet"/>
      <w:lvlText w:val="•"/>
      <w:lvlJc w:val="left"/>
      <w:pPr>
        <w:ind w:left="4690" w:hanging="360"/>
      </w:pPr>
      <w:rPr>
        <w:rFonts w:hint="default"/>
        <w:lang w:val="cs-CZ" w:eastAsia="en-US" w:bidi="ar-SA"/>
      </w:rPr>
    </w:lvl>
    <w:lvl w:ilvl="5" w:tplc="22BE42C4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6" w:tplc="A8DC843C">
      <w:numFmt w:val="bullet"/>
      <w:lvlText w:val="•"/>
      <w:lvlJc w:val="left"/>
      <w:pPr>
        <w:ind w:left="6515" w:hanging="360"/>
      </w:pPr>
      <w:rPr>
        <w:rFonts w:hint="default"/>
        <w:lang w:val="cs-CZ" w:eastAsia="en-US" w:bidi="ar-SA"/>
      </w:rPr>
    </w:lvl>
    <w:lvl w:ilvl="7" w:tplc="57ACCF20">
      <w:numFmt w:val="bullet"/>
      <w:lvlText w:val="•"/>
      <w:lvlJc w:val="left"/>
      <w:pPr>
        <w:ind w:left="7428" w:hanging="360"/>
      </w:pPr>
      <w:rPr>
        <w:rFonts w:hint="default"/>
        <w:lang w:val="cs-CZ" w:eastAsia="en-US" w:bidi="ar-SA"/>
      </w:rPr>
    </w:lvl>
    <w:lvl w:ilvl="8" w:tplc="8D1ABFDE">
      <w:numFmt w:val="bullet"/>
      <w:lvlText w:val="•"/>
      <w:lvlJc w:val="left"/>
      <w:pPr>
        <w:ind w:left="83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7C009A2"/>
    <w:multiLevelType w:val="multilevel"/>
    <w:tmpl w:val="76761AF6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38" w:hanging="260"/>
      </w:pPr>
      <w:rPr>
        <w:rFonts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4320" w:hanging="2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55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90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25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0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6" w:hanging="260"/>
      </w:pPr>
      <w:rPr>
        <w:rFonts w:hint="default"/>
        <w:lang w:val="cs-CZ" w:eastAsia="en-US" w:bidi="ar-SA"/>
      </w:rPr>
    </w:lvl>
  </w:abstractNum>
  <w:abstractNum w:abstractNumId="2" w15:restartNumberingAfterBreak="0">
    <w:nsid w:val="09CA484C"/>
    <w:multiLevelType w:val="hybridMultilevel"/>
    <w:tmpl w:val="BF00FC9E"/>
    <w:lvl w:ilvl="0" w:tplc="F8EAC2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071A0">
      <w:start w:val="1"/>
      <w:numFmt w:val="bullet"/>
      <w:lvlText w:val="•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4C9A0">
      <w:start w:val="1"/>
      <w:numFmt w:val="bullet"/>
      <w:lvlText w:val="-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CEF228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CD888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47EB2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0655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0504C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41402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60FE4"/>
    <w:multiLevelType w:val="hybridMultilevel"/>
    <w:tmpl w:val="9C7A9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04"/>
    <w:multiLevelType w:val="hybridMultilevel"/>
    <w:tmpl w:val="8446E420"/>
    <w:lvl w:ilvl="0" w:tplc="BA388A1A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 w15:restartNumberingAfterBreak="0">
    <w:nsid w:val="1C5641E3"/>
    <w:multiLevelType w:val="hybridMultilevel"/>
    <w:tmpl w:val="CAE8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20EB"/>
    <w:multiLevelType w:val="multilevel"/>
    <w:tmpl w:val="329281D4"/>
    <w:lvl w:ilvl="0">
      <w:start w:val="1"/>
      <w:numFmt w:val="decimal"/>
      <w:lvlText w:val="%1"/>
      <w:lvlJc w:val="left"/>
      <w:pPr>
        <w:ind w:left="6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Calibri" w:eastAsia="Calibri" w:hAnsi="Calibri" w:cs="Calibri" w:hint="default"/>
        <w:b/>
        <w:bCs/>
        <w:i/>
        <w:iCs/>
        <w:color w:val="80808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21" w:hanging="709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"/>
      <w:lvlJc w:val="left"/>
      <w:pPr>
        <w:ind w:left="833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4">
      <w:numFmt w:val="bullet"/>
      <w:lvlText w:val="o"/>
      <w:lvlJc w:val="left"/>
      <w:pPr>
        <w:ind w:left="1553" w:hanging="709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5">
      <w:numFmt w:val="bullet"/>
      <w:lvlText w:val="•"/>
      <w:lvlJc w:val="left"/>
      <w:pPr>
        <w:ind w:left="4018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48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77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7" w:hanging="709"/>
      </w:pPr>
      <w:rPr>
        <w:rFonts w:hint="default"/>
        <w:lang w:val="cs-CZ" w:eastAsia="en-US" w:bidi="ar-SA"/>
      </w:rPr>
    </w:lvl>
  </w:abstractNum>
  <w:abstractNum w:abstractNumId="7" w15:restartNumberingAfterBreak="0">
    <w:nsid w:val="2B841B60"/>
    <w:multiLevelType w:val="hybridMultilevel"/>
    <w:tmpl w:val="E4901896"/>
    <w:lvl w:ilvl="0" w:tplc="5268DF06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A43A66"/>
    <w:multiLevelType w:val="hybridMultilevel"/>
    <w:tmpl w:val="3B967AF8"/>
    <w:lvl w:ilvl="0" w:tplc="E7809FF4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F07A002A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2" w:tplc="A2C600E6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3" w:tplc="F8F47438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366AB76">
      <w:numFmt w:val="bullet"/>
      <w:lvlText w:val="•"/>
      <w:lvlJc w:val="left"/>
      <w:pPr>
        <w:ind w:left="4906" w:hanging="360"/>
      </w:pPr>
      <w:rPr>
        <w:rFonts w:hint="default"/>
        <w:lang w:val="cs-CZ" w:eastAsia="en-US" w:bidi="ar-SA"/>
      </w:rPr>
    </w:lvl>
    <w:lvl w:ilvl="5" w:tplc="56E03114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6" w:tplc="31E8F85C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7" w:tplc="A3E03D12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341A1F3E">
      <w:numFmt w:val="bullet"/>
      <w:lvlText w:val="•"/>
      <w:lvlJc w:val="left"/>
      <w:pPr>
        <w:ind w:left="841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A6C7959"/>
    <w:multiLevelType w:val="hybridMultilevel"/>
    <w:tmpl w:val="1592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4BEA"/>
    <w:multiLevelType w:val="hybridMultilevel"/>
    <w:tmpl w:val="41248F40"/>
    <w:lvl w:ilvl="0" w:tplc="030AFE3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82C070A0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2" w:tplc="45B0DA40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3" w:tplc="78EA1708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6A03C70">
      <w:numFmt w:val="bullet"/>
      <w:lvlText w:val="•"/>
      <w:lvlJc w:val="left"/>
      <w:pPr>
        <w:ind w:left="4906" w:hanging="360"/>
      </w:pPr>
      <w:rPr>
        <w:rFonts w:hint="default"/>
        <w:lang w:val="cs-CZ" w:eastAsia="en-US" w:bidi="ar-SA"/>
      </w:rPr>
    </w:lvl>
    <w:lvl w:ilvl="5" w:tplc="1242BC56">
      <w:numFmt w:val="bullet"/>
      <w:lvlText w:val="•"/>
      <w:lvlJc w:val="left"/>
      <w:pPr>
        <w:ind w:left="5783" w:hanging="360"/>
      </w:pPr>
      <w:rPr>
        <w:rFonts w:hint="default"/>
        <w:lang w:val="cs-CZ" w:eastAsia="en-US" w:bidi="ar-SA"/>
      </w:rPr>
    </w:lvl>
    <w:lvl w:ilvl="6" w:tplc="D1A8B69A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7" w:tplc="E3724D2A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AC0E21F4">
      <w:numFmt w:val="bullet"/>
      <w:lvlText w:val="•"/>
      <w:lvlJc w:val="left"/>
      <w:pPr>
        <w:ind w:left="84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60B6678"/>
    <w:multiLevelType w:val="hybridMultilevel"/>
    <w:tmpl w:val="D6E25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238"/>
    <w:multiLevelType w:val="hybridMultilevel"/>
    <w:tmpl w:val="870EA27A"/>
    <w:lvl w:ilvl="0" w:tplc="A580B25A">
      <w:start w:val="1"/>
      <w:numFmt w:val="bullet"/>
      <w:lvlText w:val="-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AD2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A96DE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A3E3A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AF7E8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430F4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0354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ECF06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81A20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314F3"/>
    <w:multiLevelType w:val="hybridMultilevel"/>
    <w:tmpl w:val="AE269BB4"/>
    <w:lvl w:ilvl="0" w:tplc="CB9E179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A96E8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8D88E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88D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47B18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8ACE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EF2E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AE278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AFD66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375F35"/>
    <w:multiLevelType w:val="hybridMultilevel"/>
    <w:tmpl w:val="694859EE"/>
    <w:lvl w:ilvl="0" w:tplc="57EEA6AE">
      <w:start w:val="1"/>
      <w:numFmt w:val="decimal"/>
      <w:lvlText w:val="%1)"/>
      <w:lvlJc w:val="left"/>
      <w:pPr>
        <w:ind w:left="720" w:hanging="360"/>
      </w:pPr>
      <w:rPr>
        <w:color w:val="00B0F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073"/>
    <w:multiLevelType w:val="multilevel"/>
    <w:tmpl w:val="2F309B90"/>
    <w:lvl w:ilvl="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B55290"/>
    <w:multiLevelType w:val="hybridMultilevel"/>
    <w:tmpl w:val="43383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1568C"/>
    <w:multiLevelType w:val="hybridMultilevel"/>
    <w:tmpl w:val="FCA61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1EAF"/>
    <w:multiLevelType w:val="hybridMultilevel"/>
    <w:tmpl w:val="8864C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368E"/>
    <w:multiLevelType w:val="multilevel"/>
    <w:tmpl w:val="2F7E52E8"/>
    <w:lvl w:ilvl="0">
      <w:start w:val="2"/>
      <w:numFmt w:val="decimal"/>
      <w:lvlText w:val="%1"/>
      <w:lvlJc w:val="left"/>
      <w:pPr>
        <w:ind w:left="2985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0" w:hanging="568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8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1162BF8"/>
    <w:multiLevelType w:val="hybridMultilevel"/>
    <w:tmpl w:val="FD2C44E4"/>
    <w:lvl w:ilvl="0" w:tplc="6DF6E1C0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F2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844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BAA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28930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4E09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ED0E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87CA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C9C7E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602B9"/>
    <w:multiLevelType w:val="hybridMultilevel"/>
    <w:tmpl w:val="62665138"/>
    <w:lvl w:ilvl="0" w:tplc="20445596">
      <w:start w:val="1"/>
      <w:numFmt w:val="upperLetter"/>
      <w:lvlText w:val="%1)"/>
      <w:lvlJc w:val="left"/>
      <w:pPr>
        <w:ind w:left="962" w:hanging="284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C97AC9EA">
      <w:start w:val="1"/>
      <w:numFmt w:val="lowerRoman"/>
      <w:lvlText w:val="%2."/>
      <w:lvlJc w:val="left"/>
      <w:pPr>
        <w:ind w:left="139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2"/>
        <w:w w:val="100"/>
        <w:sz w:val="22"/>
        <w:szCs w:val="22"/>
        <w:lang w:val="cs-CZ" w:eastAsia="en-US" w:bidi="ar-SA"/>
      </w:rPr>
    </w:lvl>
    <w:lvl w:ilvl="2" w:tplc="A112C90C">
      <w:numFmt w:val="bullet"/>
      <w:lvlText w:val="•"/>
      <w:lvlJc w:val="left"/>
      <w:pPr>
        <w:ind w:left="2374" w:hanging="471"/>
      </w:pPr>
      <w:rPr>
        <w:rFonts w:hint="default"/>
        <w:lang w:val="cs-CZ" w:eastAsia="en-US" w:bidi="ar-SA"/>
      </w:rPr>
    </w:lvl>
    <w:lvl w:ilvl="3" w:tplc="58345782">
      <w:numFmt w:val="bullet"/>
      <w:lvlText w:val="•"/>
      <w:lvlJc w:val="left"/>
      <w:pPr>
        <w:ind w:left="3348" w:hanging="471"/>
      </w:pPr>
      <w:rPr>
        <w:rFonts w:hint="default"/>
        <w:lang w:val="cs-CZ" w:eastAsia="en-US" w:bidi="ar-SA"/>
      </w:rPr>
    </w:lvl>
    <w:lvl w:ilvl="4" w:tplc="95369F32">
      <w:numFmt w:val="bullet"/>
      <w:lvlText w:val="•"/>
      <w:lvlJc w:val="left"/>
      <w:pPr>
        <w:ind w:left="4322" w:hanging="471"/>
      </w:pPr>
      <w:rPr>
        <w:rFonts w:hint="default"/>
        <w:lang w:val="cs-CZ" w:eastAsia="en-US" w:bidi="ar-SA"/>
      </w:rPr>
    </w:lvl>
    <w:lvl w:ilvl="5" w:tplc="CAA6E692">
      <w:numFmt w:val="bullet"/>
      <w:lvlText w:val="•"/>
      <w:lvlJc w:val="left"/>
      <w:pPr>
        <w:ind w:left="5296" w:hanging="471"/>
      </w:pPr>
      <w:rPr>
        <w:rFonts w:hint="default"/>
        <w:lang w:val="cs-CZ" w:eastAsia="en-US" w:bidi="ar-SA"/>
      </w:rPr>
    </w:lvl>
    <w:lvl w:ilvl="6" w:tplc="28720550">
      <w:numFmt w:val="bullet"/>
      <w:lvlText w:val="•"/>
      <w:lvlJc w:val="left"/>
      <w:pPr>
        <w:ind w:left="6270" w:hanging="471"/>
      </w:pPr>
      <w:rPr>
        <w:rFonts w:hint="default"/>
        <w:lang w:val="cs-CZ" w:eastAsia="en-US" w:bidi="ar-SA"/>
      </w:rPr>
    </w:lvl>
    <w:lvl w:ilvl="7" w:tplc="2F740312">
      <w:numFmt w:val="bullet"/>
      <w:lvlText w:val="•"/>
      <w:lvlJc w:val="left"/>
      <w:pPr>
        <w:ind w:left="7244" w:hanging="471"/>
      </w:pPr>
      <w:rPr>
        <w:rFonts w:hint="default"/>
        <w:lang w:val="cs-CZ" w:eastAsia="en-US" w:bidi="ar-SA"/>
      </w:rPr>
    </w:lvl>
    <w:lvl w:ilvl="8" w:tplc="27B0070A">
      <w:numFmt w:val="bullet"/>
      <w:lvlText w:val="•"/>
      <w:lvlJc w:val="left"/>
      <w:pPr>
        <w:ind w:left="8218" w:hanging="471"/>
      </w:pPr>
      <w:rPr>
        <w:rFonts w:hint="default"/>
        <w:lang w:val="cs-CZ" w:eastAsia="en-US" w:bidi="ar-SA"/>
      </w:rPr>
    </w:lvl>
  </w:abstractNum>
  <w:abstractNum w:abstractNumId="22" w15:restartNumberingAfterBreak="0">
    <w:nsid w:val="74F1105B"/>
    <w:multiLevelType w:val="hybridMultilevel"/>
    <w:tmpl w:val="5FEAFA4E"/>
    <w:lvl w:ilvl="0" w:tplc="2DC089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928B5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F9EE4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BD295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60E57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E40AF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9B60F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E8643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8AEBE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762B1E08"/>
    <w:multiLevelType w:val="hybridMultilevel"/>
    <w:tmpl w:val="888ABEC0"/>
    <w:lvl w:ilvl="0" w:tplc="3DB6DEE6">
      <w:numFmt w:val="bullet"/>
      <w:lvlText w:val=""/>
      <w:lvlJc w:val="left"/>
      <w:pPr>
        <w:ind w:left="545" w:hanging="433"/>
      </w:pPr>
      <w:rPr>
        <w:rFonts w:ascii="Symbol" w:eastAsia="Symbol" w:hAnsi="Symbol" w:cs="Symbol" w:hint="default"/>
        <w:b/>
        <w:bCs/>
        <w:i w:val="0"/>
        <w:iCs w:val="0"/>
        <w:color w:val="A6A6A6"/>
        <w:spacing w:val="0"/>
        <w:w w:val="99"/>
        <w:sz w:val="24"/>
        <w:szCs w:val="24"/>
        <w:lang w:val="cs-CZ" w:eastAsia="en-US" w:bidi="ar-SA"/>
      </w:rPr>
    </w:lvl>
    <w:lvl w:ilvl="1" w:tplc="9F8AE154">
      <w:numFmt w:val="bullet"/>
      <w:lvlText w:val="•"/>
      <w:lvlJc w:val="left"/>
      <w:pPr>
        <w:ind w:left="1502" w:hanging="433"/>
      </w:pPr>
      <w:rPr>
        <w:rFonts w:hint="default"/>
        <w:lang w:val="cs-CZ" w:eastAsia="en-US" w:bidi="ar-SA"/>
      </w:rPr>
    </w:lvl>
    <w:lvl w:ilvl="2" w:tplc="0D166D48">
      <w:numFmt w:val="bullet"/>
      <w:lvlText w:val="•"/>
      <w:lvlJc w:val="left"/>
      <w:pPr>
        <w:ind w:left="2465" w:hanging="433"/>
      </w:pPr>
      <w:rPr>
        <w:rFonts w:hint="default"/>
        <w:lang w:val="cs-CZ" w:eastAsia="en-US" w:bidi="ar-SA"/>
      </w:rPr>
    </w:lvl>
    <w:lvl w:ilvl="3" w:tplc="C43CA944">
      <w:numFmt w:val="bullet"/>
      <w:lvlText w:val="•"/>
      <w:lvlJc w:val="left"/>
      <w:pPr>
        <w:ind w:left="3427" w:hanging="433"/>
      </w:pPr>
      <w:rPr>
        <w:rFonts w:hint="default"/>
        <w:lang w:val="cs-CZ" w:eastAsia="en-US" w:bidi="ar-SA"/>
      </w:rPr>
    </w:lvl>
    <w:lvl w:ilvl="4" w:tplc="1DAC8EAA">
      <w:numFmt w:val="bullet"/>
      <w:lvlText w:val="•"/>
      <w:lvlJc w:val="left"/>
      <w:pPr>
        <w:ind w:left="4390" w:hanging="433"/>
      </w:pPr>
      <w:rPr>
        <w:rFonts w:hint="default"/>
        <w:lang w:val="cs-CZ" w:eastAsia="en-US" w:bidi="ar-SA"/>
      </w:rPr>
    </w:lvl>
    <w:lvl w:ilvl="5" w:tplc="989C003C">
      <w:numFmt w:val="bullet"/>
      <w:lvlText w:val="•"/>
      <w:lvlJc w:val="left"/>
      <w:pPr>
        <w:ind w:left="5353" w:hanging="433"/>
      </w:pPr>
      <w:rPr>
        <w:rFonts w:hint="default"/>
        <w:lang w:val="cs-CZ" w:eastAsia="en-US" w:bidi="ar-SA"/>
      </w:rPr>
    </w:lvl>
    <w:lvl w:ilvl="6" w:tplc="779E700E">
      <w:numFmt w:val="bullet"/>
      <w:lvlText w:val="•"/>
      <w:lvlJc w:val="left"/>
      <w:pPr>
        <w:ind w:left="6315" w:hanging="433"/>
      </w:pPr>
      <w:rPr>
        <w:rFonts w:hint="default"/>
        <w:lang w:val="cs-CZ" w:eastAsia="en-US" w:bidi="ar-SA"/>
      </w:rPr>
    </w:lvl>
    <w:lvl w:ilvl="7" w:tplc="36DE5264">
      <w:numFmt w:val="bullet"/>
      <w:lvlText w:val="•"/>
      <w:lvlJc w:val="left"/>
      <w:pPr>
        <w:ind w:left="7278" w:hanging="433"/>
      </w:pPr>
      <w:rPr>
        <w:rFonts w:hint="default"/>
        <w:lang w:val="cs-CZ" w:eastAsia="en-US" w:bidi="ar-SA"/>
      </w:rPr>
    </w:lvl>
    <w:lvl w:ilvl="8" w:tplc="37B20E92">
      <w:numFmt w:val="bullet"/>
      <w:lvlText w:val="•"/>
      <w:lvlJc w:val="left"/>
      <w:pPr>
        <w:ind w:left="8241" w:hanging="433"/>
      </w:pPr>
      <w:rPr>
        <w:rFonts w:hint="default"/>
        <w:lang w:val="cs-CZ" w:eastAsia="en-US" w:bidi="ar-SA"/>
      </w:rPr>
    </w:lvl>
  </w:abstractNum>
  <w:abstractNum w:abstractNumId="24" w15:restartNumberingAfterBreak="0">
    <w:nsid w:val="76BE3A17"/>
    <w:multiLevelType w:val="hybridMultilevel"/>
    <w:tmpl w:val="A9CEC728"/>
    <w:lvl w:ilvl="0" w:tplc="D58AAA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21E00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01659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6AA9F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04626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77CFF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02CFB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152CF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61602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76DF14BC"/>
    <w:multiLevelType w:val="hybridMultilevel"/>
    <w:tmpl w:val="4DA07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977FF"/>
    <w:multiLevelType w:val="hybridMultilevel"/>
    <w:tmpl w:val="A114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1402">
    <w:abstractNumId w:val="0"/>
  </w:num>
  <w:num w:numId="2" w16cid:durableId="2070228850">
    <w:abstractNumId w:val="21"/>
  </w:num>
  <w:num w:numId="3" w16cid:durableId="318964169">
    <w:abstractNumId w:val="6"/>
  </w:num>
  <w:num w:numId="4" w16cid:durableId="1717849741">
    <w:abstractNumId w:val="23"/>
  </w:num>
  <w:num w:numId="5" w16cid:durableId="717511109">
    <w:abstractNumId w:val="10"/>
  </w:num>
  <w:num w:numId="6" w16cid:durableId="388578256">
    <w:abstractNumId w:val="8"/>
  </w:num>
  <w:num w:numId="7" w16cid:durableId="2091585784">
    <w:abstractNumId w:val="1"/>
  </w:num>
  <w:num w:numId="8" w16cid:durableId="341397065">
    <w:abstractNumId w:val="18"/>
  </w:num>
  <w:num w:numId="9" w16cid:durableId="521432048">
    <w:abstractNumId w:val="5"/>
  </w:num>
  <w:num w:numId="10" w16cid:durableId="36586327">
    <w:abstractNumId w:val="26"/>
  </w:num>
  <w:num w:numId="11" w16cid:durableId="1639798483">
    <w:abstractNumId w:val="3"/>
  </w:num>
  <w:num w:numId="12" w16cid:durableId="1362322080">
    <w:abstractNumId w:val="11"/>
  </w:num>
  <w:num w:numId="13" w16cid:durableId="226188013">
    <w:abstractNumId w:val="16"/>
  </w:num>
  <w:num w:numId="14" w16cid:durableId="1229149795">
    <w:abstractNumId w:val="14"/>
  </w:num>
  <w:num w:numId="15" w16cid:durableId="2064283938">
    <w:abstractNumId w:val="25"/>
  </w:num>
  <w:num w:numId="16" w16cid:durableId="545333798">
    <w:abstractNumId w:val="9"/>
  </w:num>
  <w:num w:numId="17" w16cid:durableId="1746682766">
    <w:abstractNumId w:val="19"/>
  </w:num>
  <w:num w:numId="18" w16cid:durableId="1859462340">
    <w:abstractNumId w:val="24"/>
  </w:num>
  <w:num w:numId="19" w16cid:durableId="215312387">
    <w:abstractNumId w:val="22"/>
  </w:num>
  <w:num w:numId="20" w16cid:durableId="87237128">
    <w:abstractNumId w:val="15"/>
  </w:num>
  <w:num w:numId="21" w16cid:durableId="115029801">
    <w:abstractNumId w:val="17"/>
  </w:num>
  <w:num w:numId="22" w16cid:durableId="1764719651">
    <w:abstractNumId w:val="7"/>
  </w:num>
  <w:num w:numId="23" w16cid:durableId="882211968">
    <w:abstractNumId w:val="2"/>
  </w:num>
  <w:num w:numId="24" w16cid:durableId="474874426">
    <w:abstractNumId w:val="12"/>
  </w:num>
  <w:num w:numId="25" w16cid:durableId="1304653872">
    <w:abstractNumId w:val="13"/>
  </w:num>
  <w:num w:numId="26" w16cid:durableId="488865712">
    <w:abstractNumId w:val="20"/>
  </w:num>
  <w:num w:numId="27" w16cid:durableId="38517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23"/>
    <w:rsid w:val="00003C73"/>
    <w:rsid w:val="00004CD2"/>
    <w:rsid w:val="0000600D"/>
    <w:rsid w:val="0001060A"/>
    <w:rsid w:val="000118A3"/>
    <w:rsid w:val="00014112"/>
    <w:rsid w:val="00016D4A"/>
    <w:rsid w:val="00020C7A"/>
    <w:rsid w:val="0002112F"/>
    <w:rsid w:val="00022972"/>
    <w:rsid w:val="0003362F"/>
    <w:rsid w:val="00046648"/>
    <w:rsid w:val="00050874"/>
    <w:rsid w:val="00052AEA"/>
    <w:rsid w:val="00053134"/>
    <w:rsid w:val="00056ACB"/>
    <w:rsid w:val="00061E6A"/>
    <w:rsid w:val="000676B6"/>
    <w:rsid w:val="000765D4"/>
    <w:rsid w:val="0009680E"/>
    <w:rsid w:val="0009754D"/>
    <w:rsid w:val="000C0F2F"/>
    <w:rsid w:val="000C391C"/>
    <w:rsid w:val="000C5827"/>
    <w:rsid w:val="000D4958"/>
    <w:rsid w:val="000E0688"/>
    <w:rsid w:val="000E4FEE"/>
    <w:rsid w:val="000F1B28"/>
    <w:rsid w:val="000F1FD8"/>
    <w:rsid w:val="000F4503"/>
    <w:rsid w:val="000F57AA"/>
    <w:rsid w:val="00104D21"/>
    <w:rsid w:val="00107BF5"/>
    <w:rsid w:val="001108D0"/>
    <w:rsid w:val="001113C3"/>
    <w:rsid w:val="00111673"/>
    <w:rsid w:val="00115F62"/>
    <w:rsid w:val="001176CC"/>
    <w:rsid w:val="00123F64"/>
    <w:rsid w:val="00125489"/>
    <w:rsid w:val="001323BD"/>
    <w:rsid w:val="00135EF2"/>
    <w:rsid w:val="00142033"/>
    <w:rsid w:val="001501A3"/>
    <w:rsid w:val="00160CA0"/>
    <w:rsid w:val="00161AA8"/>
    <w:rsid w:val="00181478"/>
    <w:rsid w:val="00183FC7"/>
    <w:rsid w:val="001841CF"/>
    <w:rsid w:val="00184569"/>
    <w:rsid w:val="00186A81"/>
    <w:rsid w:val="00192E6F"/>
    <w:rsid w:val="0019426F"/>
    <w:rsid w:val="001A04E0"/>
    <w:rsid w:val="001A1BDB"/>
    <w:rsid w:val="001A672D"/>
    <w:rsid w:val="001B1761"/>
    <w:rsid w:val="001C2BA6"/>
    <w:rsid w:val="001D0550"/>
    <w:rsid w:val="001D0CFC"/>
    <w:rsid w:val="001D3A7D"/>
    <w:rsid w:val="001D3EBB"/>
    <w:rsid w:val="001E184F"/>
    <w:rsid w:val="001E2286"/>
    <w:rsid w:val="001E4C73"/>
    <w:rsid w:val="001E59DB"/>
    <w:rsid w:val="001F21D4"/>
    <w:rsid w:val="00201778"/>
    <w:rsid w:val="0020267C"/>
    <w:rsid w:val="00212411"/>
    <w:rsid w:val="00221F35"/>
    <w:rsid w:val="00226441"/>
    <w:rsid w:val="0022680F"/>
    <w:rsid w:val="002271DC"/>
    <w:rsid w:val="00230691"/>
    <w:rsid w:val="00234419"/>
    <w:rsid w:val="00246795"/>
    <w:rsid w:val="00246D00"/>
    <w:rsid w:val="00251AB2"/>
    <w:rsid w:val="002551AD"/>
    <w:rsid w:val="00256D65"/>
    <w:rsid w:val="00273D6B"/>
    <w:rsid w:val="00273DB2"/>
    <w:rsid w:val="00274388"/>
    <w:rsid w:val="002858F3"/>
    <w:rsid w:val="002874B6"/>
    <w:rsid w:val="002979FC"/>
    <w:rsid w:val="00297AF1"/>
    <w:rsid w:val="002A1632"/>
    <w:rsid w:val="002A6247"/>
    <w:rsid w:val="002B3509"/>
    <w:rsid w:val="002B5105"/>
    <w:rsid w:val="002B5892"/>
    <w:rsid w:val="002C11FA"/>
    <w:rsid w:val="002C24EB"/>
    <w:rsid w:val="002D63CD"/>
    <w:rsid w:val="002D6DFD"/>
    <w:rsid w:val="002D71E4"/>
    <w:rsid w:val="002E1EF8"/>
    <w:rsid w:val="002E3E06"/>
    <w:rsid w:val="002E4614"/>
    <w:rsid w:val="002E642A"/>
    <w:rsid w:val="002F323F"/>
    <w:rsid w:val="00300810"/>
    <w:rsid w:val="00301AE2"/>
    <w:rsid w:val="00302C8A"/>
    <w:rsid w:val="0030476C"/>
    <w:rsid w:val="00306B56"/>
    <w:rsid w:val="00307984"/>
    <w:rsid w:val="003130B3"/>
    <w:rsid w:val="00314F44"/>
    <w:rsid w:val="00323841"/>
    <w:rsid w:val="0033030B"/>
    <w:rsid w:val="00333B73"/>
    <w:rsid w:val="003370E5"/>
    <w:rsid w:val="003443FD"/>
    <w:rsid w:val="003446F8"/>
    <w:rsid w:val="00361C76"/>
    <w:rsid w:val="003673A4"/>
    <w:rsid w:val="00393537"/>
    <w:rsid w:val="00396D38"/>
    <w:rsid w:val="003A4DED"/>
    <w:rsid w:val="003B7D58"/>
    <w:rsid w:val="003C389F"/>
    <w:rsid w:val="003D4B2F"/>
    <w:rsid w:val="003E65BE"/>
    <w:rsid w:val="003F0D82"/>
    <w:rsid w:val="003F5096"/>
    <w:rsid w:val="004014C2"/>
    <w:rsid w:val="00402750"/>
    <w:rsid w:val="00404E05"/>
    <w:rsid w:val="0040776B"/>
    <w:rsid w:val="0041103F"/>
    <w:rsid w:val="004129AE"/>
    <w:rsid w:val="00426957"/>
    <w:rsid w:val="00426AA1"/>
    <w:rsid w:val="00434630"/>
    <w:rsid w:val="00435C81"/>
    <w:rsid w:val="00435CE4"/>
    <w:rsid w:val="00450A7D"/>
    <w:rsid w:val="00451683"/>
    <w:rsid w:val="00451C4D"/>
    <w:rsid w:val="00462251"/>
    <w:rsid w:val="00467785"/>
    <w:rsid w:val="004710F9"/>
    <w:rsid w:val="0047456D"/>
    <w:rsid w:val="0047557F"/>
    <w:rsid w:val="004A02F3"/>
    <w:rsid w:val="004A3BF2"/>
    <w:rsid w:val="004A4685"/>
    <w:rsid w:val="004C0C40"/>
    <w:rsid w:val="004C2072"/>
    <w:rsid w:val="004C2342"/>
    <w:rsid w:val="004C5E87"/>
    <w:rsid w:val="004C7133"/>
    <w:rsid w:val="004D34C7"/>
    <w:rsid w:val="004D34E2"/>
    <w:rsid w:val="004D4F67"/>
    <w:rsid w:val="004F1686"/>
    <w:rsid w:val="004F3517"/>
    <w:rsid w:val="00500E04"/>
    <w:rsid w:val="005039A5"/>
    <w:rsid w:val="00504D57"/>
    <w:rsid w:val="0050725E"/>
    <w:rsid w:val="0053131F"/>
    <w:rsid w:val="00535D89"/>
    <w:rsid w:val="005403D6"/>
    <w:rsid w:val="00545E5E"/>
    <w:rsid w:val="005461D0"/>
    <w:rsid w:val="00554C88"/>
    <w:rsid w:val="00557FDF"/>
    <w:rsid w:val="00562C46"/>
    <w:rsid w:val="00572F94"/>
    <w:rsid w:val="00573253"/>
    <w:rsid w:val="00575351"/>
    <w:rsid w:val="00576731"/>
    <w:rsid w:val="005772FB"/>
    <w:rsid w:val="00577883"/>
    <w:rsid w:val="0059290A"/>
    <w:rsid w:val="005953C2"/>
    <w:rsid w:val="00597006"/>
    <w:rsid w:val="005A0571"/>
    <w:rsid w:val="005A3565"/>
    <w:rsid w:val="005A4807"/>
    <w:rsid w:val="005A5EF0"/>
    <w:rsid w:val="005B45AB"/>
    <w:rsid w:val="005B59CD"/>
    <w:rsid w:val="005B6F43"/>
    <w:rsid w:val="005C2ABA"/>
    <w:rsid w:val="005C5256"/>
    <w:rsid w:val="005D1474"/>
    <w:rsid w:val="005D6F0F"/>
    <w:rsid w:val="005E0502"/>
    <w:rsid w:val="005E12DE"/>
    <w:rsid w:val="005E3499"/>
    <w:rsid w:val="005E4926"/>
    <w:rsid w:val="005E76F7"/>
    <w:rsid w:val="005F2F92"/>
    <w:rsid w:val="005F6C73"/>
    <w:rsid w:val="00602BD5"/>
    <w:rsid w:val="006039A1"/>
    <w:rsid w:val="00604998"/>
    <w:rsid w:val="0060759E"/>
    <w:rsid w:val="0061359E"/>
    <w:rsid w:val="00614BF7"/>
    <w:rsid w:val="00620966"/>
    <w:rsid w:val="00622ECF"/>
    <w:rsid w:val="00626FDE"/>
    <w:rsid w:val="00633268"/>
    <w:rsid w:val="00636D85"/>
    <w:rsid w:val="006405B5"/>
    <w:rsid w:val="00644166"/>
    <w:rsid w:val="00644B5F"/>
    <w:rsid w:val="006453A7"/>
    <w:rsid w:val="00651C9B"/>
    <w:rsid w:val="006546E0"/>
    <w:rsid w:val="006558EB"/>
    <w:rsid w:val="0066640B"/>
    <w:rsid w:val="006676D5"/>
    <w:rsid w:val="006A732B"/>
    <w:rsid w:val="006B105A"/>
    <w:rsid w:val="006B1380"/>
    <w:rsid w:val="006B5404"/>
    <w:rsid w:val="006C0E1D"/>
    <w:rsid w:val="006C234A"/>
    <w:rsid w:val="006C5F67"/>
    <w:rsid w:val="006D00F5"/>
    <w:rsid w:val="006D0F6F"/>
    <w:rsid w:val="006D1AC7"/>
    <w:rsid w:val="006E3D87"/>
    <w:rsid w:val="006E57EF"/>
    <w:rsid w:val="006F09DE"/>
    <w:rsid w:val="006F5BEC"/>
    <w:rsid w:val="007112F6"/>
    <w:rsid w:val="00720D36"/>
    <w:rsid w:val="00721E07"/>
    <w:rsid w:val="00727BCE"/>
    <w:rsid w:val="00733355"/>
    <w:rsid w:val="00733F7F"/>
    <w:rsid w:val="007377C1"/>
    <w:rsid w:val="007407F9"/>
    <w:rsid w:val="00741561"/>
    <w:rsid w:val="00743B89"/>
    <w:rsid w:val="00745BA5"/>
    <w:rsid w:val="007460D4"/>
    <w:rsid w:val="0076365A"/>
    <w:rsid w:val="00773B60"/>
    <w:rsid w:val="007A051E"/>
    <w:rsid w:val="007A25C1"/>
    <w:rsid w:val="007C6752"/>
    <w:rsid w:val="007C7827"/>
    <w:rsid w:val="007C7BA6"/>
    <w:rsid w:val="007D2A28"/>
    <w:rsid w:val="007D4290"/>
    <w:rsid w:val="007D671D"/>
    <w:rsid w:val="007F4A4D"/>
    <w:rsid w:val="007F58A3"/>
    <w:rsid w:val="007F66FE"/>
    <w:rsid w:val="007F6EC9"/>
    <w:rsid w:val="0080351E"/>
    <w:rsid w:val="00807E69"/>
    <w:rsid w:val="00807F6B"/>
    <w:rsid w:val="008314CC"/>
    <w:rsid w:val="00834DA9"/>
    <w:rsid w:val="00840EBF"/>
    <w:rsid w:val="008476E0"/>
    <w:rsid w:val="00847A85"/>
    <w:rsid w:val="00856230"/>
    <w:rsid w:val="0085743F"/>
    <w:rsid w:val="00861FE4"/>
    <w:rsid w:val="008623B1"/>
    <w:rsid w:val="008636A4"/>
    <w:rsid w:val="0086610F"/>
    <w:rsid w:val="00875EEC"/>
    <w:rsid w:val="00882302"/>
    <w:rsid w:val="00883004"/>
    <w:rsid w:val="008A0487"/>
    <w:rsid w:val="008A0F2F"/>
    <w:rsid w:val="008A61B6"/>
    <w:rsid w:val="008A74BE"/>
    <w:rsid w:val="008B4E59"/>
    <w:rsid w:val="008C231C"/>
    <w:rsid w:val="008D1F23"/>
    <w:rsid w:val="008E2895"/>
    <w:rsid w:val="008F1EC7"/>
    <w:rsid w:val="00912A45"/>
    <w:rsid w:val="00914866"/>
    <w:rsid w:val="00915F23"/>
    <w:rsid w:val="00923C55"/>
    <w:rsid w:val="00926691"/>
    <w:rsid w:val="009269CF"/>
    <w:rsid w:val="00926FE8"/>
    <w:rsid w:val="00927DF6"/>
    <w:rsid w:val="00933379"/>
    <w:rsid w:val="00934CE0"/>
    <w:rsid w:val="009461A8"/>
    <w:rsid w:val="00954F33"/>
    <w:rsid w:val="00955F55"/>
    <w:rsid w:val="00961A27"/>
    <w:rsid w:val="00964790"/>
    <w:rsid w:val="00966FF6"/>
    <w:rsid w:val="009677EB"/>
    <w:rsid w:val="009726B2"/>
    <w:rsid w:val="00975BEA"/>
    <w:rsid w:val="009840F8"/>
    <w:rsid w:val="00996872"/>
    <w:rsid w:val="00996FC0"/>
    <w:rsid w:val="009A0E5A"/>
    <w:rsid w:val="009A1A65"/>
    <w:rsid w:val="009C7941"/>
    <w:rsid w:val="009E013E"/>
    <w:rsid w:val="009E0E3E"/>
    <w:rsid w:val="009F4FF7"/>
    <w:rsid w:val="009F5286"/>
    <w:rsid w:val="00A02CAF"/>
    <w:rsid w:val="00A06E9F"/>
    <w:rsid w:val="00A114EB"/>
    <w:rsid w:val="00A119E3"/>
    <w:rsid w:val="00A14CFC"/>
    <w:rsid w:val="00A16461"/>
    <w:rsid w:val="00A1725A"/>
    <w:rsid w:val="00A22268"/>
    <w:rsid w:val="00A23C31"/>
    <w:rsid w:val="00A24EEE"/>
    <w:rsid w:val="00A25C89"/>
    <w:rsid w:val="00A3151C"/>
    <w:rsid w:val="00A33223"/>
    <w:rsid w:val="00A344CB"/>
    <w:rsid w:val="00A50623"/>
    <w:rsid w:val="00A5255E"/>
    <w:rsid w:val="00A53C93"/>
    <w:rsid w:val="00A61743"/>
    <w:rsid w:val="00A709D3"/>
    <w:rsid w:val="00A72721"/>
    <w:rsid w:val="00A80597"/>
    <w:rsid w:val="00A84CF0"/>
    <w:rsid w:val="00A85874"/>
    <w:rsid w:val="00A92732"/>
    <w:rsid w:val="00A94195"/>
    <w:rsid w:val="00A9773F"/>
    <w:rsid w:val="00AB16E6"/>
    <w:rsid w:val="00AB60FC"/>
    <w:rsid w:val="00AB7CF3"/>
    <w:rsid w:val="00AC4970"/>
    <w:rsid w:val="00AD326E"/>
    <w:rsid w:val="00AD6DCA"/>
    <w:rsid w:val="00AE2ACC"/>
    <w:rsid w:val="00AE7A3D"/>
    <w:rsid w:val="00AF102B"/>
    <w:rsid w:val="00AF255E"/>
    <w:rsid w:val="00B0144A"/>
    <w:rsid w:val="00B11E7C"/>
    <w:rsid w:val="00B20137"/>
    <w:rsid w:val="00B226F9"/>
    <w:rsid w:val="00B25D6E"/>
    <w:rsid w:val="00B27C3E"/>
    <w:rsid w:val="00B301D7"/>
    <w:rsid w:val="00B30A24"/>
    <w:rsid w:val="00B5192B"/>
    <w:rsid w:val="00B53695"/>
    <w:rsid w:val="00B60751"/>
    <w:rsid w:val="00B64120"/>
    <w:rsid w:val="00B66208"/>
    <w:rsid w:val="00B706B5"/>
    <w:rsid w:val="00B80279"/>
    <w:rsid w:val="00B806C9"/>
    <w:rsid w:val="00B80CD0"/>
    <w:rsid w:val="00B8722F"/>
    <w:rsid w:val="00B918EE"/>
    <w:rsid w:val="00B92E34"/>
    <w:rsid w:val="00B9B65E"/>
    <w:rsid w:val="00BA2F9C"/>
    <w:rsid w:val="00BA7846"/>
    <w:rsid w:val="00BB039D"/>
    <w:rsid w:val="00BB2DF8"/>
    <w:rsid w:val="00BB5258"/>
    <w:rsid w:val="00BB52B4"/>
    <w:rsid w:val="00BB6E9B"/>
    <w:rsid w:val="00BC2D91"/>
    <w:rsid w:val="00BC64B5"/>
    <w:rsid w:val="00BC670F"/>
    <w:rsid w:val="00BD6E4A"/>
    <w:rsid w:val="00BD7D00"/>
    <w:rsid w:val="00BE4CD4"/>
    <w:rsid w:val="00BE5E47"/>
    <w:rsid w:val="00BF3A58"/>
    <w:rsid w:val="00BF49B6"/>
    <w:rsid w:val="00BF4D29"/>
    <w:rsid w:val="00BF5639"/>
    <w:rsid w:val="00C04DCD"/>
    <w:rsid w:val="00C0707C"/>
    <w:rsid w:val="00C10E53"/>
    <w:rsid w:val="00C13D50"/>
    <w:rsid w:val="00C14340"/>
    <w:rsid w:val="00C17F86"/>
    <w:rsid w:val="00C20957"/>
    <w:rsid w:val="00C212D7"/>
    <w:rsid w:val="00C21F7D"/>
    <w:rsid w:val="00C278F4"/>
    <w:rsid w:val="00C32D62"/>
    <w:rsid w:val="00C3553A"/>
    <w:rsid w:val="00C44299"/>
    <w:rsid w:val="00C52D29"/>
    <w:rsid w:val="00C546B9"/>
    <w:rsid w:val="00C54C04"/>
    <w:rsid w:val="00C65224"/>
    <w:rsid w:val="00C703C0"/>
    <w:rsid w:val="00C7183A"/>
    <w:rsid w:val="00C73C19"/>
    <w:rsid w:val="00C73F1A"/>
    <w:rsid w:val="00C82100"/>
    <w:rsid w:val="00C83322"/>
    <w:rsid w:val="00C92F90"/>
    <w:rsid w:val="00C95F4F"/>
    <w:rsid w:val="00C97FA8"/>
    <w:rsid w:val="00CA097B"/>
    <w:rsid w:val="00CA29B6"/>
    <w:rsid w:val="00CA2B1F"/>
    <w:rsid w:val="00CB0B2A"/>
    <w:rsid w:val="00CB5885"/>
    <w:rsid w:val="00CC0766"/>
    <w:rsid w:val="00CC0C03"/>
    <w:rsid w:val="00CC3816"/>
    <w:rsid w:val="00CD42FB"/>
    <w:rsid w:val="00CD6870"/>
    <w:rsid w:val="00CE726D"/>
    <w:rsid w:val="00CF30E3"/>
    <w:rsid w:val="00D03BC8"/>
    <w:rsid w:val="00D03D73"/>
    <w:rsid w:val="00D05F3C"/>
    <w:rsid w:val="00D1465A"/>
    <w:rsid w:val="00D14B5E"/>
    <w:rsid w:val="00D16ECA"/>
    <w:rsid w:val="00D20514"/>
    <w:rsid w:val="00D20E2A"/>
    <w:rsid w:val="00D2157D"/>
    <w:rsid w:val="00D25D4B"/>
    <w:rsid w:val="00D27966"/>
    <w:rsid w:val="00D3040F"/>
    <w:rsid w:val="00D31572"/>
    <w:rsid w:val="00D40666"/>
    <w:rsid w:val="00D42393"/>
    <w:rsid w:val="00D44103"/>
    <w:rsid w:val="00D46B95"/>
    <w:rsid w:val="00D46ED7"/>
    <w:rsid w:val="00D505A1"/>
    <w:rsid w:val="00D529CE"/>
    <w:rsid w:val="00D646AE"/>
    <w:rsid w:val="00D8420A"/>
    <w:rsid w:val="00D90208"/>
    <w:rsid w:val="00D949F3"/>
    <w:rsid w:val="00DB637B"/>
    <w:rsid w:val="00DB7B85"/>
    <w:rsid w:val="00DC1D19"/>
    <w:rsid w:val="00DC328D"/>
    <w:rsid w:val="00DC381C"/>
    <w:rsid w:val="00DC398C"/>
    <w:rsid w:val="00DC47DE"/>
    <w:rsid w:val="00DC5B87"/>
    <w:rsid w:val="00DD0FEA"/>
    <w:rsid w:val="00DD2D41"/>
    <w:rsid w:val="00DE1971"/>
    <w:rsid w:val="00DE42CE"/>
    <w:rsid w:val="00DF0D93"/>
    <w:rsid w:val="00DF2C6E"/>
    <w:rsid w:val="00DF3A10"/>
    <w:rsid w:val="00E03AF3"/>
    <w:rsid w:val="00E160DD"/>
    <w:rsid w:val="00E17F70"/>
    <w:rsid w:val="00E208F0"/>
    <w:rsid w:val="00E2120E"/>
    <w:rsid w:val="00E312DC"/>
    <w:rsid w:val="00E342BE"/>
    <w:rsid w:val="00E517F7"/>
    <w:rsid w:val="00E5424B"/>
    <w:rsid w:val="00E54D45"/>
    <w:rsid w:val="00E562C0"/>
    <w:rsid w:val="00E631B8"/>
    <w:rsid w:val="00E64D59"/>
    <w:rsid w:val="00E65F3E"/>
    <w:rsid w:val="00E706B3"/>
    <w:rsid w:val="00E819BB"/>
    <w:rsid w:val="00E82A35"/>
    <w:rsid w:val="00E85F39"/>
    <w:rsid w:val="00E963AA"/>
    <w:rsid w:val="00EA3EEC"/>
    <w:rsid w:val="00EA5877"/>
    <w:rsid w:val="00EA7B03"/>
    <w:rsid w:val="00EA7BC8"/>
    <w:rsid w:val="00EB4500"/>
    <w:rsid w:val="00EC4366"/>
    <w:rsid w:val="00ED0B09"/>
    <w:rsid w:val="00ED2E50"/>
    <w:rsid w:val="00ED3DB7"/>
    <w:rsid w:val="00ED712E"/>
    <w:rsid w:val="00EE299D"/>
    <w:rsid w:val="00EF09D1"/>
    <w:rsid w:val="00F0633A"/>
    <w:rsid w:val="00F07810"/>
    <w:rsid w:val="00F21B88"/>
    <w:rsid w:val="00F22AAA"/>
    <w:rsid w:val="00F23CE7"/>
    <w:rsid w:val="00F30F0B"/>
    <w:rsid w:val="00F47177"/>
    <w:rsid w:val="00F474D0"/>
    <w:rsid w:val="00F52F91"/>
    <w:rsid w:val="00F55EA0"/>
    <w:rsid w:val="00F6262E"/>
    <w:rsid w:val="00F62C86"/>
    <w:rsid w:val="00F64B53"/>
    <w:rsid w:val="00F67E4A"/>
    <w:rsid w:val="00F743B2"/>
    <w:rsid w:val="00F74596"/>
    <w:rsid w:val="00F76A39"/>
    <w:rsid w:val="00F849FE"/>
    <w:rsid w:val="00F8561E"/>
    <w:rsid w:val="00F86C63"/>
    <w:rsid w:val="00F914FB"/>
    <w:rsid w:val="00F955C8"/>
    <w:rsid w:val="00FB7B79"/>
    <w:rsid w:val="00FC23D7"/>
    <w:rsid w:val="00FD13F7"/>
    <w:rsid w:val="00FD7353"/>
    <w:rsid w:val="00FE20C4"/>
    <w:rsid w:val="00FE3584"/>
    <w:rsid w:val="00FF1DD8"/>
    <w:rsid w:val="0312AE79"/>
    <w:rsid w:val="13D1BBD4"/>
    <w:rsid w:val="3B6DDDA1"/>
    <w:rsid w:val="40296A80"/>
    <w:rsid w:val="4137A518"/>
    <w:rsid w:val="501646A9"/>
    <w:rsid w:val="758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B3C05"/>
  <w15:docId w15:val="{976E8C17-08F9-469B-A373-C8F485A7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144"/>
      <w:ind w:left="679" w:hanging="567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KIT List Paragraph,cp_Odstavec se seznamem,Bullet Number,Table of contents numbered,A-Odrážky1,Bullet List,FooterText,numbered,Paragraphe de liste1,Bulletr List Paragraph,列出段落,列出段落1,List Paragraph2,nad 1,Název grafu,Nad,Odstavec_m"/>
    <w:basedOn w:val="Normln"/>
    <w:link w:val="OdstavecseseznamemChar"/>
    <w:uiPriority w:val="34"/>
    <w:qFormat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pat">
    <w:name w:val="footer"/>
    <w:basedOn w:val="Normln"/>
    <w:link w:val="ZpatChar"/>
    <w:uiPriority w:val="99"/>
    <w:unhideWhenUsed/>
    <w:rsid w:val="00BC64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4B5"/>
    <w:rPr>
      <w:rFonts w:ascii="Arial" w:eastAsia="Arial" w:hAnsi="Arial" w:cs="Arial"/>
      <w:lang w:val="cs-CZ"/>
    </w:rPr>
  </w:style>
  <w:style w:type="character" w:customStyle="1" w:styleId="OdstavecseseznamemChar">
    <w:name w:val="Odstavec se seznamem Char"/>
    <w:aliases w:val="NAKIT List Paragraph Char,cp_Odstavec se seznamem Char,Bullet Number Char,Table of contents numbered Char,A-Odrážky1 Char,Bullet List Char,FooterText Char,numbered Char,Paragraphe de liste1 Char,Bulletr List Paragraph Char"/>
    <w:basedOn w:val="Standardnpsmoodstavce"/>
    <w:link w:val="Odstavecseseznamem"/>
    <w:uiPriority w:val="34"/>
    <w:qFormat/>
    <w:rsid w:val="002A1632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D03D73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F4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FF7"/>
    <w:rPr>
      <w:rFonts w:ascii="Arial" w:eastAsia="Arial" w:hAnsi="Arial" w:cs="Arial"/>
      <w:lang w:val="cs-CZ"/>
    </w:rPr>
  </w:style>
  <w:style w:type="table" w:customStyle="1" w:styleId="TableNormal1">
    <w:name w:val="Table Normal1"/>
    <w:uiPriority w:val="2"/>
    <w:semiHidden/>
    <w:unhideWhenUsed/>
    <w:qFormat/>
    <w:rsid w:val="009F4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7438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7438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paragraph" w:styleId="Titulek">
    <w:name w:val="caption"/>
    <w:basedOn w:val="Normln"/>
    <w:next w:val="Normln"/>
    <w:uiPriority w:val="35"/>
    <w:unhideWhenUsed/>
    <w:qFormat/>
    <w:rsid w:val="0027438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17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F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F86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F86"/>
    <w:rPr>
      <w:rFonts w:ascii="Arial" w:eastAsia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CC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91B22-AD75-4623-BB5B-22E0A7D9F59E}">
  <ds:schemaRefs>
    <ds:schemaRef ds:uri="http://schemas.microsoft.com/office/2006/documentManagement/types"/>
    <ds:schemaRef ds:uri="9c954f1a-16cf-4817-9826-0512dd4ff2fa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d11b8ed-932e-4b78-b8de-9ed6e3bbb541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328749-8DAC-4B20-920B-A61C1D87D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D110-81F5-428E-BF6E-37147D71E7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2167</Words>
  <Characters>12788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Slavek Martin</dc:creator>
  <cp:keywords/>
  <cp:lastModifiedBy>Benešová Kristýna</cp:lastModifiedBy>
  <cp:revision>11</cp:revision>
  <dcterms:created xsi:type="dcterms:W3CDTF">2025-05-21T09:35:00Z</dcterms:created>
  <dcterms:modified xsi:type="dcterms:W3CDTF">2025-05-30T13:25:00Z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2024-07-09T00:00:00Z</vt:filetime>
  </property>
  <property fmtid="{D5CDD505-2E9C-101B-9397-08002B2CF9AE}" pid="5" name="MSIP_Label_82a99ebc-0f39-4fac-abab-b8d6469272ed_ActionId">
    <vt:lpwstr>c4b397b9-422a-41bd-a4d5-048331206f17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2024-06-07T18:48:44Z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43acadc9,67a4ed36,1de0d8f9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  <property fmtid="{D5CDD505-2E9C-101B-9397-08002B2CF9AE}" pid="16" name="ContentTypeId">
    <vt:lpwstr>0x010100185DCB7ED404AA40A4B9DE32CE43213E</vt:lpwstr>
  </property>
  <property fmtid="{D5CDD505-2E9C-101B-9397-08002B2CF9AE}" pid="17" name="MediaServiceImageTags">
    <vt:lpwstr/>
  </property>
</Properties>
</file>