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DF" w:rsidRDefault="00D65FD5" w:rsidP="000F69DF">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2644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0F69DF" w:rsidRDefault="000F69DF">
      <w:pPr>
        <w:pStyle w:val="TITRE"/>
        <w:spacing w:before="0" w:after="0"/>
        <w:rPr>
          <w:sz w:val="24"/>
          <w:szCs w:val="24"/>
          <w:lang w:val="cs-CZ"/>
        </w:rPr>
      </w:pPr>
    </w:p>
    <w:p w:rsidR="000F69DF" w:rsidRDefault="00D65FD5">
      <w:pPr>
        <w:pStyle w:val="TITRE"/>
        <w:spacing w:before="0" w:after="0"/>
        <w:rPr>
          <w:sz w:val="24"/>
          <w:szCs w:val="24"/>
          <w:lang w:val="cs-CZ"/>
        </w:rPr>
      </w:pPr>
      <w:r>
        <w:rPr>
          <w:sz w:val="24"/>
          <w:szCs w:val="24"/>
          <w:lang w:val="cs-CZ"/>
        </w:rPr>
        <w:t xml:space="preserve">SMLOUVA O ZAJIŠTĚNÍ ČINNOSTI TECHNICKÉHO DOZORU STAVEBNÍKA </w:t>
      </w:r>
    </w:p>
    <w:p w:rsidR="000F69DF" w:rsidRPr="000F69DF" w:rsidRDefault="00D65FD5" w:rsidP="000F69DF">
      <w:pPr>
        <w:pStyle w:val="Nzev"/>
        <w:spacing w:line="276" w:lineRule="auto"/>
        <w:rPr>
          <w:rFonts w:ascii="Arial" w:eastAsia="Arial" w:hAnsi="Arial" w:cs="Arial"/>
          <w:sz w:val="22"/>
          <w:szCs w:val="22"/>
        </w:rPr>
      </w:pPr>
      <w:r w:rsidRPr="000F69DF">
        <w:rPr>
          <w:rFonts w:ascii="Arial" w:eastAsia="Arial" w:hAnsi="Arial" w:cs="Arial"/>
          <w:sz w:val="22"/>
          <w:szCs w:val="22"/>
        </w:rPr>
        <w:t>"</w:t>
      </w:r>
      <w:r w:rsidR="000F69DF" w:rsidRPr="000F69DF">
        <w:rPr>
          <w:rFonts w:ascii="Arial" w:eastAsia="Arial" w:hAnsi="Arial" w:cs="Arial"/>
          <w:bCs w:val="0"/>
          <w:sz w:val="22"/>
          <w:szCs w:val="22"/>
        </w:rPr>
        <w:t>II/183 Merklín – Buková – oprava krytu</w:t>
      </w:r>
      <w:r w:rsidRPr="000F69DF">
        <w:rPr>
          <w:rFonts w:ascii="Arial" w:eastAsia="Arial" w:hAnsi="Arial" w:cs="Arial"/>
          <w:sz w:val="22"/>
          <w:szCs w:val="22"/>
        </w:rPr>
        <w:t>"</w:t>
      </w:r>
    </w:p>
    <w:p w:rsidR="000F69DF" w:rsidRPr="000E29B2" w:rsidRDefault="00D65FD5" w:rsidP="000F69DF">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0F69DF" w:rsidRPr="000E29B2" w:rsidRDefault="00D65FD5" w:rsidP="000F69DF">
      <w:pPr>
        <w:jc w:val="center"/>
        <w:rPr>
          <w:rFonts w:ascii="Arial" w:eastAsia="Arial" w:hAnsi="Arial" w:cs="Arial"/>
          <w:lang w:eastAsia="en-US"/>
        </w:rPr>
      </w:pPr>
      <w:r w:rsidRPr="000E29B2">
        <w:rPr>
          <w:rFonts w:ascii="Arial" w:eastAsia="Arial" w:hAnsi="Arial" w:cs="Arial"/>
          <w:lang w:eastAsia="en-US"/>
        </w:rPr>
        <w:t xml:space="preserve"> (dále jen „smlouva“)</w:t>
      </w:r>
    </w:p>
    <w:p w:rsidR="000F69DF" w:rsidRDefault="000F69DF">
      <w:pPr>
        <w:pStyle w:val="TITRE"/>
        <w:spacing w:before="0" w:after="0"/>
        <w:jc w:val="left"/>
        <w:rPr>
          <w:b w:val="0"/>
          <w:bCs w:val="0"/>
          <w:sz w:val="20"/>
          <w:szCs w:val="20"/>
          <w:lang w:val="cs-CZ" w:eastAsia="cs-CZ"/>
        </w:rPr>
      </w:pPr>
    </w:p>
    <w:p w:rsidR="000F69DF" w:rsidRPr="00723117" w:rsidRDefault="00D65FD5" w:rsidP="000F69DF">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0F69DF" w:rsidRPr="00723117" w:rsidRDefault="00D65FD5" w:rsidP="000F69DF">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w:t>
      </w:r>
      <w:r>
        <w:rPr>
          <w:rFonts w:ascii="Arial" w:eastAsia="Arial" w:hAnsi="Arial" w:cs="Arial"/>
          <w:b w:val="0"/>
          <w:bCs w:val="0"/>
          <w:sz w:val="20"/>
          <w:szCs w:val="20"/>
        </w:rPr>
        <w:t>poskytova</w:t>
      </w:r>
      <w:r w:rsidRPr="00723117">
        <w:rPr>
          <w:rFonts w:ascii="Arial" w:eastAsia="Arial" w:hAnsi="Arial" w:cs="Arial"/>
          <w:b w:val="0"/>
          <w:bCs w:val="0"/>
          <w:sz w:val="20"/>
          <w:szCs w:val="20"/>
        </w:rPr>
        <w:t xml:space="preserve">tele: </w:t>
      </w:r>
      <w:r w:rsidR="006C0A9E">
        <w:rPr>
          <w:rFonts w:ascii="Arial" w:eastAsia="Arial" w:hAnsi="Arial" w:cs="Arial"/>
          <w:b w:val="0"/>
          <w:bCs w:val="0"/>
          <w:sz w:val="20"/>
          <w:szCs w:val="20"/>
        </w:rPr>
        <w:t>17TD10094</w:t>
      </w:r>
    </w:p>
    <w:p w:rsidR="000F69DF" w:rsidRPr="00723117" w:rsidRDefault="00D65FD5" w:rsidP="000F69DF">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0F69DF" w:rsidRDefault="00D65FD5">
      <w:pPr>
        <w:pStyle w:val="Nadpis11"/>
        <w:rPr>
          <w:rFonts w:ascii="Arial" w:eastAsia="Arial" w:hAnsi="Arial" w:cs="Arial"/>
          <w:sz w:val="20"/>
          <w:szCs w:val="20"/>
        </w:rPr>
      </w:pPr>
      <w:r>
        <w:rPr>
          <w:rFonts w:ascii="Arial" w:eastAsia="Arial" w:hAnsi="Arial" w:cs="Arial"/>
          <w:sz w:val="20"/>
          <w:szCs w:val="20"/>
        </w:rPr>
        <w:t>Smluvní strany:</w:t>
      </w:r>
    </w:p>
    <w:p w:rsidR="000F69DF" w:rsidRDefault="00D65FD5">
      <w:pPr>
        <w:spacing w:after="0"/>
        <w:rPr>
          <w:b/>
          <w:bCs/>
          <w:i/>
          <w:iCs/>
        </w:rPr>
      </w:pPr>
      <w:r>
        <w:rPr>
          <w:b/>
          <w:bCs/>
          <w:i/>
          <w:iCs/>
        </w:rPr>
        <w:t>Objednatel:</w:t>
      </w:r>
    </w:p>
    <w:p w:rsidR="000F69DF" w:rsidRPr="000E29B2" w:rsidRDefault="00D65FD5" w:rsidP="000F69DF">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0F69DF" w:rsidRPr="000E29B2" w:rsidRDefault="00D65FD5" w:rsidP="000F69DF">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0F69DF" w:rsidRPr="000E29B2" w:rsidRDefault="00D65FD5" w:rsidP="000F69DF">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0F69DF" w:rsidRPr="000E29B2" w:rsidRDefault="00D65FD5" w:rsidP="000F69DF">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0F69DF" w:rsidRPr="000E29B2" w:rsidRDefault="00D65FD5" w:rsidP="000F69DF">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0F69DF" w:rsidRPr="000E29B2" w:rsidRDefault="00D65FD5" w:rsidP="000F69DF">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0F69DF" w:rsidRPr="000E29B2" w:rsidRDefault="00D65FD5" w:rsidP="000F69DF">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0F69DF" w:rsidRPr="000E29B2" w:rsidRDefault="00D65FD5" w:rsidP="000F69DF">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0F69DF" w:rsidRPr="000E29B2" w:rsidRDefault="00D65FD5" w:rsidP="000F69DF">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0F69DF">
        <w:rPr>
          <w:rFonts w:ascii="Arial" w:eastAsia="Arial" w:hAnsi="Arial" w:cs="Arial"/>
          <w:bCs/>
          <w:sz w:val="20"/>
          <w:szCs w:val="20"/>
        </w:rPr>
        <w:t>Ing. Miroslav Tvrdý</w:t>
      </w:r>
      <w:r w:rsidRPr="000E29B2">
        <w:rPr>
          <w:rFonts w:ascii="Arial" w:eastAsia="Arial" w:hAnsi="Arial" w:cs="Arial"/>
          <w:sz w:val="20"/>
          <w:szCs w:val="20"/>
        </w:rPr>
        <w:t>, tel. +420</w:t>
      </w:r>
      <w:r w:rsidR="000F69DF">
        <w:rPr>
          <w:rFonts w:ascii="Arial" w:eastAsia="Arial" w:hAnsi="Arial" w:cs="Arial"/>
          <w:sz w:val="20"/>
          <w:szCs w:val="20"/>
        </w:rPr>
        <w:t> </w:t>
      </w:r>
      <w:r w:rsidR="000F69DF">
        <w:rPr>
          <w:rFonts w:ascii="Arial" w:eastAsia="Arial" w:hAnsi="Arial" w:cs="Arial"/>
          <w:bCs/>
          <w:sz w:val="20"/>
          <w:szCs w:val="20"/>
        </w:rPr>
        <w:t>377 172 505</w:t>
      </w:r>
      <w:r w:rsidRPr="000E29B2">
        <w:rPr>
          <w:rFonts w:ascii="Arial" w:eastAsia="Arial" w:hAnsi="Arial" w:cs="Arial"/>
          <w:sz w:val="20"/>
          <w:szCs w:val="20"/>
        </w:rPr>
        <w:t xml:space="preserve">, e-mail: </w:t>
      </w:r>
      <w:r w:rsidR="000F69DF">
        <w:rPr>
          <w:rFonts w:ascii="Arial" w:eastAsia="Arial" w:hAnsi="Arial" w:cs="Arial"/>
          <w:bCs/>
          <w:sz w:val="20"/>
          <w:szCs w:val="20"/>
        </w:rPr>
        <w:t>miroslav.tvrdy</w:t>
      </w:r>
      <w:r w:rsidRPr="000E29B2">
        <w:rPr>
          <w:rFonts w:ascii="Arial" w:eastAsia="Arial" w:hAnsi="Arial" w:cs="Arial"/>
          <w:sz w:val="20"/>
          <w:szCs w:val="20"/>
        </w:rPr>
        <w:t>@suspk.eu</w:t>
      </w:r>
    </w:p>
    <w:p w:rsidR="000F69DF" w:rsidRPr="000E29B2" w:rsidRDefault="00D65FD5" w:rsidP="000F69DF">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0F69DF" w:rsidRPr="000E29B2" w:rsidRDefault="00D65FD5" w:rsidP="000F69DF">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0F69DF" w:rsidRDefault="00D65FD5">
      <w:pPr>
        <w:spacing w:before="240"/>
        <w:rPr>
          <w:rFonts w:ascii="Arial" w:eastAsia="Arial" w:hAnsi="Arial" w:cs="Arial"/>
          <w:sz w:val="20"/>
          <w:szCs w:val="20"/>
        </w:rPr>
      </w:pPr>
      <w:r>
        <w:rPr>
          <w:rFonts w:ascii="Arial" w:eastAsia="Arial" w:hAnsi="Arial" w:cs="Arial"/>
          <w:sz w:val="20"/>
          <w:szCs w:val="20"/>
        </w:rPr>
        <w:t>a</w:t>
      </w:r>
    </w:p>
    <w:p w:rsidR="000F69DF" w:rsidRDefault="00D65FD5">
      <w:pPr>
        <w:spacing w:after="0"/>
        <w:rPr>
          <w:rFonts w:ascii="Arial" w:eastAsia="Arial" w:hAnsi="Arial" w:cs="Arial"/>
          <w:b/>
          <w:bCs/>
          <w:i/>
          <w:iCs/>
          <w:sz w:val="20"/>
          <w:szCs w:val="20"/>
        </w:rPr>
      </w:pPr>
      <w:r>
        <w:rPr>
          <w:rFonts w:ascii="Arial" w:eastAsia="Arial" w:hAnsi="Arial" w:cs="Arial"/>
          <w:b/>
          <w:bCs/>
          <w:i/>
          <w:iCs/>
          <w:sz w:val="20"/>
          <w:szCs w:val="20"/>
        </w:rPr>
        <w:t>Poskytovatel:</w:t>
      </w:r>
    </w:p>
    <w:p w:rsidR="000F69DF" w:rsidRPr="000E29B2" w:rsidRDefault="000F69DF" w:rsidP="000F69DF">
      <w:pPr>
        <w:tabs>
          <w:tab w:val="left" w:pos="2268"/>
        </w:tabs>
        <w:spacing w:after="0" w:line="240" w:lineRule="auto"/>
        <w:rPr>
          <w:rFonts w:ascii="Arial" w:hAnsi="Arial" w:cs="Arial"/>
          <w:b/>
          <w:sz w:val="20"/>
          <w:szCs w:val="20"/>
        </w:rPr>
      </w:pPr>
      <w:r>
        <w:rPr>
          <w:rFonts w:ascii="Arial" w:hAnsi="Arial" w:cs="Arial"/>
          <w:b/>
          <w:sz w:val="20"/>
          <w:szCs w:val="20"/>
        </w:rPr>
        <w:t>IBR Consulting, s.r.o.</w:t>
      </w:r>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hAnsi="Arial" w:cs="Arial"/>
          <w:sz w:val="20"/>
          <w:szCs w:val="20"/>
        </w:rPr>
        <w:t>zapsaná v obchodním rejstříku pod sp. zn.:</w:t>
      </w:r>
      <w:bookmarkStart w:id="3" w:name="Text13"/>
      <w:r w:rsidRPr="000E29B2">
        <w:rPr>
          <w:rFonts w:ascii="Arial" w:hAnsi="Arial" w:cs="Arial"/>
          <w:sz w:val="20"/>
          <w:szCs w:val="20"/>
        </w:rPr>
        <w:t xml:space="preserve"> </w:t>
      </w:r>
      <w:bookmarkEnd w:id="3"/>
      <w:r>
        <w:rPr>
          <w:rFonts w:ascii="Arial" w:eastAsia="Arial" w:hAnsi="Arial" w:cs="Arial"/>
          <w:sz w:val="20"/>
          <w:szCs w:val="20"/>
        </w:rPr>
        <w:t>C235748</w:t>
      </w:r>
      <w:r w:rsidRPr="000E29B2">
        <w:rPr>
          <w:rFonts w:ascii="Arial" w:eastAsia="Arial" w:hAnsi="Arial" w:cs="Arial"/>
          <w:sz w:val="20"/>
          <w:szCs w:val="20"/>
        </w:rPr>
        <w:t xml:space="preserve"> vedenou u </w:t>
      </w:r>
      <w:r>
        <w:rPr>
          <w:rFonts w:ascii="Arial" w:eastAsia="Arial" w:hAnsi="Arial" w:cs="Arial"/>
          <w:sz w:val="20"/>
          <w:szCs w:val="20"/>
        </w:rPr>
        <w:t>Městského soudu v Praze</w:t>
      </w:r>
    </w:p>
    <w:p w:rsidR="000F69DF" w:rsidRPr="000E29B2" w:rsidRDefault="000F69DF" w:rsidP="000F69DF">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t>Sokolovská 352/215, 190 00  Praha 9</w:t>
      </w:r>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zastoupená:</w:t>
      </w:r>
      <w:r w:rsidRPr="000E29B2">
        <w:rPr>
          <w:rFonts w:ascii="Arial" w:eastAsia="Arial" w:hAnsi="Arial" w:cs="Arial"/>
          <w:sz w:val="20"/>
          <w:szCs w:val="20"/>
        </w:rPr>
        <w:tab/>
      </w:r>
      <w:bookmarkStart w:id="4" w:name="Text8"/>
      <w:r>
        <w:rPr>
          <w:rFonts w:ascii="Arial" w:eastAsia="Arial" w:hAnsi="Arial" w:cs="Arial"/>
          <w:sz w:val="20"/>
          <w:szCs w:val="20"/>
        </w:rPr>
        <w:t xml:space="preserve">Ing. Františkem Benčem, Ph.D., jednatelem </w:t>
      </w:r>
      <w:bookmarkEnd w:id="4"/>
    </w:p>
    <w:p w:rsidR="000F69DF"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IČ:</w:t>
      </w:r>
      <w:bookmarkStart w:id="5" w:name="Text9"/>
      <w:r>
        <w:rPr>
          <w:rFonts w:ascii="Arial" w:eastAsia="Arial" w:hAnsi="Arial" w:cs="Arial"/>
          <w:sz w:val="20"/>
          <w:szCs w:val="20"/>
        </w:rPr>
        <w:t xml:space="preserve">                                    25023446</w:t>
      </w:r>
      <w:bookmarkEnd w:id="5"/>
    </w:p>
    <w:p w:rsidR="000F69DF" w:rsidRPr="000E29B2" w:rsidRDefault="000F69DF" w:rsidP="000F69DF">
      <w:pPr>
        <w:tabs>
          <w:tab w:val="left" w:pos="2268"/>
        </w:tabs>
        <w:spacing w:after="0" w:line="240" w:lineRule="auto"/>
        <w:rPr>
          <w:rStyle w:val="Zstupntext1"/>
          <w:rFonts w:ascii="Arial" w:eastAsia="Arial" w:hAnsi="Arial" w:cs="Arial"/>
          <w:sz w:val="20"/>
          <w:szCs w:val="20"/>
        </w:rPr>
      </w:pPr>
      <w:r w:rsidRPr="000E29B2">
        <w:rPr>
          <w:rFonts w:ascii="Arial" w:eastAsia="Arial" w:hAnsi="Arial" w:cs="Arial"/>
          <w:sz w:val="20"/>
          <w:szCs w:val="20"/>
        </w:rPr>
        <w:t>DIČ:</w:t>
      </w:r>
      <w:bookmarkStart w:id="6" w:name="Text10"/>
      <w:r>
        <w:rPr>
          <w:rFonts w:ascii="Arial" w:eastAsia="Arial" w:hAnsi="Arial" w:cs="Arial"/>
          <w:sz w:val="20"/>
          <w:szCs w:val="20"/>
        </w:rPr>
        <w:t xml:space="preserve">                                 CZ 25023446</w:t>
      </w:r>
      <w:bookmarkEnd w:id="6"/>
      <w:r w:rsidRPr="000E29B2">
        <w:rPr>
          <w:rStyle w:val="Zstupntext1"/>
          <w:rFonts w:ascii="Arial" w:eastAsia="Arial" w:hAnsi="Arial" w:cs="Arial"/>
          <w:sz w:val="20"/>
          <w:szCs w:val="20"/>
        </w:rPr>
        <w:t xml:space="preserve"> </w:t>
      </w:r>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bookmarkStart w:id="7" w:name="Text12"/>
      <w:r>
        <w:rPr>
          <w:rFonts w:ascii="Arial" w:eastAsia="Arial" w:hAnsi="Arial" w:cs="Arial"/>
          <w:sz w:val="20"/>
          <w:szCs w:val="20"/>
        </w:rPr>
        <w:t>+420 234 256 212</w:t>
      </w:r>
      <w:bookmarkEnd w:id="7"/>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bookmarkStart w:id="8" w:name="Text63"/>
      <w:r>
        <w:rPr>
          <w:rFonts w:ascii="Arial" w:eastAsia="Arial" w:hAnsi="Arial" w:cs="Arial"/>
          <w:sz w:val="20"/>
          <w:szCs w:val="20"/>
        </w:rPr>
        <w:t>info@ibrconsulting.cz</w:t>
      </w:r>
      <w:bookmarkEnd w:id="8"/>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bookmarkStart w:id="9" w:name="Text14"/>
      <w:r>
        <w:rPr>
          <w:rFonts w:ascii="Arial" w:eastAsia="Arial" w:hAnsi="Arial" w:cs="Arial"/>
          <w:sz w:val="20"/>
          <w:szCs w:val="20"/>
        </w:rPr>
        <w:t>I2gbcjm</w:t>
      </w:r>
      <w:bookmarkEnd w:id="9"/>
    </w:p>
    <w:p w:rsidR="000F69DF" w:rsidRPr="000E29B2" w:rsidRDefault="000F69DF" w:rsidP="000F69DF">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 xml:space="preserve">kontaktní osoba: </w:t>
      </w:r>
      <w:r>
        <w:rPr>
          <w:rFonts w:ascii="Arial" w:eastAsia="Arial" w:hAnsi="Arial" w:cs="Arial"/>
          <w:sz w:val="20"/>
          <w:szCs w:val="20"/>
        </w:rPr>
        <w:t>Aleš Bednář</w:t>
      </w:r>
      <w:r w:rsidRPr="000E29B2">
        <w:rPr>
          <w:rFonts w:ascii="Arial" w:eastAsia="Arial" w:hAnsi="Arial" w:cs="Arial"/>
          <w:sz w:val="20"/>
          <w:szCs w:val="20"/>
        </w:rPr>
        <w:t xml:space="preserve">, tel. </w:t>
      </w:r>
      <w:r>
        <w:rPr>
          <w:rFonts w:ascii="Arial" w:eastAsia="Arial" w:hAnsi="Arial" w:cs="Arial"/>
          <w:sz w:val="20"/>
          <w:szCs w:val="20"/>
        </w:rPr>
        <w:t>+420 731 648 536</w:t>
      </w:r>
      <w:r w:rsidRPr="000E29B2">
        <w:rPr>
          <w:rFonts w:ascii="Arial" w:eastAsia="Arial" w:hAnsi="Arial" w:cs="Arial"/>
          <w:sz w:val="20"/>
          <w:szCs w:val="20"/>
        </w:rPr>
        <w:t>, e-mail:</w:t>
      </w:r>
      <w:bookmarkStart w:id="10" w:name="Text15"/>
      <w:r w:rsidRPr="000E29B2">
        <w:rPr>
          <w:rFonts w:ascii="Arial" w:eastAsia="Arial" w:hAnsi="Arial" w:cs="Arial"/>
          <w:sz w:val="20"/>
          <w:szCs w:val="20"/>
        </w:rPr>
        <w:t xml:space="preserve"> </w:t>
      </w:r>
      <w:bookmarkEnd w:id="10"/>
      <w:r>
        <w:rPr>
          <w:rFonts w:ascii="Arial" w:eastAsia="Arial" w:hAnsi="Arial" w:cs="Arial"/>
          <w:sz w:val="20"/>
          <w:szCs w:val="20"/>
        </w:rPr>
        <w:t>ales.bednar@ibrconsulting.cz</w:t>
      </w:r>
    </w:p>
    <w:p w:rsidR="000F69DF" w:rsidRPr="000E29B2" w:rsidRDefault="00D65FD5" w:rsidP="000F69DF">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0F69DF" w:rsidRDefault="00D65FD5">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0F69DF" w:rsidRDefault="00D65FD5" w:rsidP="000F69DF">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1" w:name="Text65"/>
      <w:r w:rsidRPr="006E05E0">
        <w:rPr>
          <w:rFonts w:ascii="Arial" w:eastAsia="Arial" w:hAnsi="Arial" w:cs="Arial"/>
          <w:b/>
          <w:bCs/>
        </w:rPr>
        <w:t>"</w:t>
      </w:r>
      <w:r w:rsidR="000F69DF">
        <w:rPr>
          <w:rFonts w:ascii="Arial" w:eastAsia="Arial" w:hAnsi="Arial" w:cs="Arial"/>
          <w:b/>
          <w:bCs/>
        </w:rPr>
        <w:t>II/183 Merklín – Buková – oprava krytu</w:t>
      </w:r>
      <w:r w:rsidRPr="006E05E0">
        <w:rPr>
          <w:rFonts w:ascii="Arial" w:eastAsia="Arial" w:hAnsi="Arial" w:cs="Arial"/>
          <w:b/>
          <w:bCs/>
        </w:rPr>
        <w:t>"</w:t>
      </w:r>
      <w:bookmarkEnd w:id="11"/>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0F69DF" w:rsidRDefault="00D65FD5" w:rsidP="000F69DF">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0F69DF" w:rsidRPr="006E05E0" w:rsidRDefault="00D65FD5" w:rsidP="000F69DF">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12"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13" w:name="Text21"/>
      <w:bookmarkEnd w:id="12"/>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596737">
        <w:rPr>
          <w:rFonts w:ascii="Arial" w:eastAsia="Arial" w:hAnsi="Arial" w:cs="Arial"/>
        </w:rPr>
      </w:r>
      <w:r w:rsidR="00596737">
        <w:rPr>
          <w:rFonts w:ascii="Arial" w:eastAsia="Arial" w:hAnsi="Arial" w:cs="Arial"/>
        </w:rPr>
        <w:fldChar w:fldCharType="separate"/>
      </w:r>
      <w:r w:rsidRPr="006E05E0">
        <w:rPr>
          <w:rFonts w:ascii="Arial" w:eastAsia="Arial" w:hAnsi="Arial" w:cs="Arial"/>
        </w:rPr>
        <w:fldChar w:fldCharType="end"/>
      </w:r>
      <w:bookmarkEnd w:id="13"/>
      <w:r w:rsidRPr="006E05E0">
        <w:rPr>
          <w:rFonts w:ascii="Arial" w:eastAsia="Arial" w:hAnsi="Arial" w:cs="Arial"/>
        </w:rPr>
        <w:t xml:space="preserve"> zpracované </w:t>
      </w:r>
      <w:r w:rsidR="000F69DF">
        <w:rPr>
          <w:rFonts w:ascii="Arial" w:eastAsia="Arial" w:hAnsi="Arial" w:cs="Arial"/>
        </w:rPr>
        <w:t xml:space="preserve">společností </w:t>
      </w:r>
      <w:r w:rsidR="000F69DF">
        <w:rPr>
          <w:rFonts w:ascii="Arial" w:hAnsi="Arial" w:cs="Arial"/>
          <w:bCs/>
        </w:rPr>
        <w:t>SG Geotechnika a.s.,</w:t>
      </w:r>
      <w:r w:rsidR="000F69DF" w:rsidRPr="00A97B38">
        <w:rPr>
          <w:rFonts w:ascii="Arial" w:hAnsi="Arial" w:cs="Arial"/>
          <w:bCs/>
        </w:rPr>
        <w:t xml:space="preserve"> se sídlem: </w:t>
      </w:r>
      <w:r w:rsidR="000F69DF">
        <w:rPr>
          <w:rFonts w:ascii="Arial" w:hAnsi="Arial" w:cs="Arial"/>
          <w:bCs/>
        </w:rPr>
        <w:t>Geologická 988/4, 152 00  Praha 5</w:t>
      </w:r>
      <w:r w:rsidR="000F69DF" w:rsidRPr="00A97B38">
        <w:rPr>
          <w:rFonts w:ascii="Arial" w:hAnsi="Arial" w:cs="Arial"/>
          <w:bCs/>
        </w:rPr>
        <w:t xml:space="preserve">, IČO: </w:t>
      </w:r>
      <w:r w:rsidR="000F69DF">
        <w:rPr>
          <w:rFonts w:ascii="Arial" w:hAnsi="Arial" w:cs="Arial"/>
          <w:bCs/>
        </w:rPr>
        <w:t>41192168</w:t>
      </w:r>
      <w:r w:rsidR="000F69DF" w:rsidRPr="00A97B38">
        <w:rPr>
          <w:rFonts w:ascii="Arial" w:hAnsi="Arial" w:cs="Arial"/>
          <w:bCs/>
        </w:rPr>
        <w:t xml:space="preserve">, </w:t>
      </w:r>
      <w:r w:rsidR="000F69DF">
        <w:rPr>
          <w:rFonts w:ascii="Arial" w:hAnsi="Arial" w:cs="Arial"/>
          <w:bCs/>
        </w:rPr>
        <w:t>zhotovené v 04/2017</w:t>
      </w:r>
    </w:p>
    <w:p w:rsidR="000F69DF" w:rsidRDefault="00D65FD5" w:rsidP="000F69DF">
      <w:pPr>
        <w:pStyle w:val="Zkladntextodsazen"/>
        <w:ind w:left="426" w:firstLine="141"/>
        <w:jc w:val="both"/>
        <w:rPr>
          <w:rFonts w:ascii="Arial" w:eastAsia="Arial" w:hAnsi="Arial" w:cs="Arial"/>
        </w:rPr>
      </w:pPr>
      <w:r>
        <w:rPr>
          <w:rFonts w:ascii="Arial" w:eastAsia="Arial" w:hAnsi="Arial" w:cs="Arial"/>
        </w:rPr>
        <w:t>(dále též jen jako „stavba“).</w:t>
      </w:r>
    </w:p>
    <w:p w:rsidR="000F69DF" w:rsidRDefault="00D65FD5" w:rsidP="000F69DF">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0F69DF" w:rsidRDefault="00D65FD5" w:rsidP="000F69DF">
      <w:pPr>
        <w:pStyle w:val="Zkladntextodsazen"/>
        <w:numPr>
          <w:ilvl w:val="1"/>
          <w:numId w:val="3"/>
        </w:numPr>
        <w:spacing w:before="120" w:after="120"/>
        <w:ind w:left="567" w:hanging="567"/>
        <w:jc w:val="both"/>
        <w:rPr>
          <w:rFonts w:ascii="Arial" w:eastAsia="Arial" w:hAnsi="Arial" w:cs="Arial"/>
        </w:rPr>
      </w:pPr>
      <w:bookmarkStart w:id="14"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0F69DF" w:rsidRDefault="00D65FD5" w:rsidP="000F69DF">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II.</w:t>
      </w:r>
      <w:bookmarkEnd w:id="14"/>
      <w:r>
        <w:rPr>
          <w:rFonts w:ascii="Arial" w:eastAsia="Arial" w:hAnsi="Arial" w:cs="Arial"/>
          <w:sz w:val="20"/>
          <w:szCs w:val="20"/>
        </w:rPr>
        <w:t xml:space="preserve"> Rozsah činnosti poskytovatele</w:t>
      </w:r>
    </w:p>
    <w:p w:rsidR="000F69DF" w:rsidRDefault="00D65FD5" w:rsidP="000F69DF">
      <w:pPr>
        <w:pStyle w:val="Zkladntextodsazen3"/>
        <w:numPr>
          <w:ilvl w:val="1"/>
          <w:numId w:val="20"/>
        </w:numPr>
        <w:spacing w:before="120" w:after="120"/>
        <w:rPr>
          <w:rFonts w:ascii="Arial" w:eastAsia="Arial" w:hAnsi="Arial" w:cs="Arial"/>
        </w:rPr>
      </w:pPr>
      <w:bookmarkStart w:id="15" w:name="_Ref263259956"/>
      <w:r>
        <w:rPr>
          <w:rFonts w:ascii="Arial" w:eastAsia="Arial" w:hAnsi="Arial" w:cs="Arial"/>
        </w:rPr>
        <w:t>Poskytovatel se zavazuje vykonávat pro objednatele v jeho zastoupení technický dozor stavebníka (dále jen „TDS“) nad prováděním stavby, tj. zejména:</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5"/>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a služby a tuto kontrolu věcné správnosti stvrdit svým podpisem na dílčí či konečné faktuře, </w:t>
      </w:r>
      <w:r>
        <w:rPr>
          <w:rFonts w:ascii="Arial" w:eastAsia="Arial" w:hAnsi="Arial" w:cs="Arial"/>
        </w:rPr>
        <w:lastRenderedPageBreak/>
        <w:t>popř. na soupisu provedených prací,</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bookmarkStart w:id="16" w:name="_Ref263640692"/>
      <w:r>
        <w:rPr>
          <w:rFonts w:ascii="Arial" w:eastAsia="Arial" w:hAnsi="Arial" w:cs="Arial"/>
        </w:rPr>
        <w:t>vynakládat maximální úsilí k tomu, aby stavba byla dokončena bez vad a nedodělků,</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6"/>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0F69DF" w:rsidRDefault="00D65FD5" w:rsidP="000F69DF">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0F69DF" w:rsidRDefault="00D65FD5" w:rsidP="000F69DF">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0F69DF" w:rsidRDefault="00D65FD5" w:rsidP="000F69DF">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Poskytovatel se zavazuje obstarávat i další inženýrské činnosti nezbytné pro řádné splnění účelu této smlouvy dle pokynů objednatele.</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III. Termín plnění</w:t>
      </w:r>
    </w:p>
    <w:p w:rsidR="000F69DF" w:rsidRDefault="00D65FD5" w:rsidP="000F69DF">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r w:rsidR="009C647B">
        <w:rPr>
          <w:rFonts w:ascii="Arial" w:eastAsia="Arial" w:hAnsi="Arial" w:cs="Arial"/>
          <w:sz w:val="20"/>
          <w:szCs w:val="20"/>
        </w:rPr>
        <w:t xml:space="preserve"> Předpokládaná doba výkonu technického dozoru stavebníka je 2 měsíce od termínu předání staveniště objednatelem zhotoviteli.</w:t>
      </w:r>
    </w:p>
    <w:p w:rsidR="000F69DF" w:rsidRDefault="00D65FD5" w:rsidP="000F69DF">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0F69DF" w:rsidRDefault="00D65FD5" w:rsidP="000F69DF">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0F69DF" w:rsidRDefault="00D65FD5" w:rsidP="000F69DF">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0F69DF" w:rsidRDefault="00D65FD5" w:rsidP="000F69DF">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0F69DF" w:rsidRDefault="00D65FD5" w:rsidP="000F69DF">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0F69DF" w:rsidRPr="00B41306" w:rsidRDefault="00D65FD5" w:rsidP="000F69DF">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7"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0F69DF" w:rsidRPr="00B41306" w:rsidRDefault="00D65FD5" w:rsidP="000F69DF">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0F69DF" w:rsidRPr="00B41306" w:rsidRDefault="00D65FD5" w:rsidP="000F69DF">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0F69DF" w:rsidRPr="00B41306" w:rsidRDefault="00D65FD5" w:rsidP="000F69DF">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0F69DF" w:rsidRPr="00B41306" w:rsidRDefault="00D65FD5" w:rsidP="000F69DF">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0F69DF" w:rsidRDefault="00D65FD5" w:rsidP="000F69DF">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7"/>
    </w:p>
    <w:p w:rsidR="000F69DF" w:rsidRDefault="00D65FD5">
      <w:pPr>
        <w:pStyle w:val="Nadpis11"/>
        <w:jc w:val="center"/>
        <w:rPr>
          <w:rFonts w:ascii="Arial" w:eastAsia="Arial" w:hAnsi="Arial" w:cs="Arial"/>
          <w:sz w:val="20"/>
          <w:szCs w:val="20"/>
        </w:rPr>
      </w:pPr>
      <w:r>
        <w:rPr>
          <w:rFonts w:ascii="Arial" w:eastAsia="Arial" w:hAnsi="Arial" w:cs="Arial"/>
          <w:sz w:val="20"/>
          <w:szCs w:val="20"/>
        </w:rPr>
        <w:t>ČI. V. Odměna</w:t>
      </w:r>
    </w:p>
    <w:p w:rsidR="000F69DF" w:rsidRPr="004876AB" w:rsidRDefault="00D65FD5" w:rsidP="000F69DF">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9C647B">
        <w:rPr>
          <w:rFonts w:ascii="Arial" w:eastAsia="Arial" w:hAnsi="Arial" w:cs="Arial"/>
        </w:rPr>
        <w:t xml:space="preserve">    </w:t>
      </w:r>
      <w:r w:rsidR="009C647B" w:rsidRPr="009C647B">
        <w:rPr>
          <w:rStyle w:val="Zstupntext1"/>
          <w:rFonts w:ascii="Arial" w:eastAsia="Arial" w:hAnsi="Arial" w:cs="Arial"/>
          <w:b/>
          <w:color w:val="auto"/>
        </w:rPr>
        <w:t>147 555</w:t>
      </w:r>
      <w:r w:rsidRPr="009C647B">
        <w:rPr>
          <w:rFonts w:ascii="Arial" w:eastAsia="Arial" w:hAnsi="Arial" w:cs="Arial"/>
          <w:b/>
          <w:lang w:eastAsia="cs-CZ"/>
        </w:rPr>
        <w:t xml:space="preserve"> Kč bez DPH</w:t>
      </w:r>
      <w:r>
        <w:rPr>
          <w:rFonts w:ascii="Arial" w:eastAsia="Arial" w:hAnsi="Arial" w:cs="Arial"/>
          <w:lang w:eastAsia="cs-CZ"/>
        </w:rPr>
        <w:t>.</w:t>
      </w:r>
    </w:p>
    <w:p w:rsidR="000F69DF" w:rsidRPr="004876AB" w:rsidRDefault="00D65FD5" w:rsidP="000F69DF">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0F69DF" w:rsidRPr="000E29B2" w:rsidRDefault="00D65FD5" w:rsidP="000F69DF">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0F69DF" w:rsidRDefault="00D65FD5" w:rsidP="000F69DF">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0F69DF" w:rsidRDefault="00D65FD5" w:rsidP="000F69D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0F69DF" w:rsidRDefault="00D65FD5" w:rsidP="000F69D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9C647B">
        <w:rPr>
          <w:rFonts w:ascii="Arial" w:eastAsia="Arial" w:hAnsi="Arial" w:cs="Arial"/>
        </w:rPr>
        <w:t>20 000 000</w:t>
      </w:r>
      <w:r w:rsidRPr="004876AB">
        <w:rPr>
          <w:rFonts w:ascii="Arial" w:eastAsia="Arial" w:hAnsi="Arial" w:cs="Arial"/>
        </w:rPr>
        <w:t>,- Kč pro jednu pojistnou událost.</w:t>
      </w:r>
    </w:p>
    <w:p w:rsidR="000F69DF" w:rsidRDefault="00D65FD5" w:rsidP="000F69D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0F69DF" w:rsidRDefault="00D65FD5" w:rsidP="000F69D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0F69DF" w:rsidRDefault="00D65FD5" w:rsidP="000F69D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VII. Platební podmínky</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0F69DF" w:rsidRDefault="00D65FD5" w:rsidP="000F69DF">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0F69DF" w:rsidRDefault="00D65FD5">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0F69DF" w:rsidRDefault="00D65FD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0F69DF" w:rsidRDefault="00D65FD5">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0F69DF" w:rsidRDefault="00D65FD5">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0F69DF" w:rsidRDefault="00D65FD5">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0F69DF" w:rsidRDefault="00D65FD5">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0F69DF" w:rsidRDefault="00D65FD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0F69DF" w:rsidRPr="00295F90" w:rsidRDefault="00D65FD5" w:rsidP="000F69DF">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0F69DF"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0F69DF" w:rsidRPr="00B41306" w:rsidRDefault="00D65FD5" w:rsidP="000F69DF">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0F69DF" w:rsidRDefault="00D65FD5">
      <w:pPr>
        <w:pStyle w:val="Nadpis11"/>
        <w:jc w:val="center"/>
        <w:rPr>
          <w:rFonts w:ascii="Arial" w:eastAsia="Arial" w:hAnsi="Arial" w:cs="Arial"/>
          <w:sz w:val="20"/>
          <w:szCs w:val="20"/>
        </w:rPr>
      </w:pPr>
      <w:r>
        <w:rPr>
          <w:rFonts w:ascii="Arial" w:eastAsia="Arial" w:hAnsi="Arial" w:cs="Arial"/>
          <w:sz w:val="20"/>
          <w:szCs w:val="20"/>
        </w:rPr>
        <w:t>Čl. VIII. Smluvní pokuty</w:t>
      </w:r>
    </w:p>
    <w:p w:rsidR="000F69DF" w:rsidRDefault="00D65FD5" w:rsidP="000F69DF">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0F69DF" w:rsidRDefault="00D65FD5" w:rsidP="000F69DF">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0F69DF" w:rsidRDefault="00D65FD5" w:rsidP="000F69DF">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0F69DF" w:rsidRDefault="00D65FD5" w:rsidP="000F69DF">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0F69DF" w:rsidRDefault="00D65FD5" w:rsidP="000F69DF">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0F69DF" w:rsidRDefault="00D65FD5" w:rsidP="000F69DF">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0F69DF" w:rsidRPr="004E145C" w:rsidRDefault="00D65FD5" w:rsidP="000F69DF">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0F69DF" w:rsidRDefault="00D65FD5" w:rsidP="000F69DF">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0F69DF" w:rsidRPr="00C6361A" w:rsidRDefault="00D65FD5" w:rsidP="000F69DF">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0F69DF" w:rsidRPr="007B557B" w:rsidRDefault="00D65FD5" w:rsidP="000F69DF">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0F69DF" w:rsidRPr="007B557B" w:rsidRDefault="00D65FD5" w:rsidP="000F69DF">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0F69DF" w:rsidRPr="007B557B" w:rsidRDefault="00D65FD5" w:rsidP="000F69DF">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0F69DF" w:rsidRPr="007B557B" w:rsidRDefault="00D65FD5" w:rsidP="000F69DF">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0F69DF" w:rsidRPr="007B557B" w:rsidRDefault="00D65FD5" w:rsidP="000F69DF">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0F69DF" w:rsidRPr="007B557B" w:rsidRDefault="00D65FD5" w:rsidP="000F69DF">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0F69DF" w:rsidRPr="007B557B" w:rsidRDefault="00D65FD5" w:rsidP="000F69DF">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0F69DF" w:rsidRDefault="00D65FD5" w:rsidP="000F69DF">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0F69DF" w:rsidRPr="000E29B2" w:rsidRDefault="00D65FD5" w:rsidP="000F69DF">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0F69DF" w:rsidRPr="000E29B2"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0F69DF"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0F69DF" w:rsidRPr="007B557B"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0F69DF" w:rsidRPr="007B557B"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0F69DF" w:rsidRDefault="00D65FD5" w:rsidP="000F69DF">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0F69DF" w:rsidRPr="001E7DFD" w:rsidRDefault="00D65FD5" w:rsidP="000F69DF">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0F69DF"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0F69DF" w:rsidRDefault="00D65FD5" w:rsidP="000F69DF">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0F69DF" w:rsidRDefault="00D65FD5" w:rsidP="000F69DF">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lastRenderedPageBreak/>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0F69DF" w:rsidRPr="000E29B2" w:rsidRDefault="00D65FD5" w:rsidP="000F69D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0F69DF" w:rsidRPr="00230DE8" w:rsidRDefault="00D65FD5" w:rsidP="000F69DF">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0F69DF" w:rsidRDefault="000F69DF" w:rsidP="000F69DF">
      <w:pPr>
        <w:spacing w:after="0"/>
        <w:ind w:left="993" w:hanging="993"/>
        <w:rPr>
          <w:rFonts w:ascii="Arial" w:eastAsia="Arial" w:hAnsi="Arial" w:cs="Arial"/>
          <w:sz w:val="20"/>
          <w:szCs w:val="20"/>
        </w:rPr>
      </w:pPr>
    </w:p>
    <w:p w:rsidR="000F69DF" w:rsidRDefault="00D65FD5" w:rsidP="000F69DF">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9C647B" w:rsidRDefault="009C647B" w:rsidP="000F69DF">
      <w:pPr>
        <w:ind w:left="993" w:hanging="993"/>
        <w:rPr>
          <w:rFonts w:ascii="Arial" w:eastAsia="Arial" w:hAnsi="Arial" w:cs="Arial"/>
          <w:sz w:val="20"/>
          <w:szCs w:val="20"/>
        </w:rPr>
      </w:pPr>
    </w:p>
    <w:p w:rsidR="000F69DF" w:rsidRPr="00A61371" w:rsidRDefault="00D65FD5" w:rsidP="000F69DF">
      <w:pPr>
        <w:ind w:left="993" w:hanging="993"/>
        <w:rPr>
          <w:rFonts w:ascii="Arial" w:eastAsia="Arial" w:hAnsi="Arial" w:cs="Arial"/>
          <w:i/>
          <w:sz w:val="20"/>
          <w:szCs w:val="20"/>
        </w:rPr>
      </w:pPr>
      <w:r>
        <w:rPr>
          <w:rFonts w:ascii="Arial" w:eastAsia="Arial" w:hAnsi="Arial" w:cs="Arial"/>
          <w:i/>
          <w:sz w:val="20"/>
          <w:szCs w:val="20"/>
        </w:rPr>
        <w:t>o</w:t>
      </w:r>
      <w:r w:rsidRPr="00A61371">
        <w:rPr>
          <w:rFonts w:ascii="Arial" w:eastAsia="Arial" w:hAnsi="Arial" w:cs="Arial"/>
          <w:i/>
          <w:sz w:val="20"/>
          <w:szCs w:val="20"/>
        </w:rPr>
        <w:t xml:space="preserve">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p</w:t>
      </w:r>
      <w:r w:rsidRPr="00A61371">
        <w:rPr>
          <w:rFonts w:ascii="Arial" w:eastAsia="Arial" w:hAnsi="Arial" w:cs="Arial"/>
          <w:i/>
          <w:sz w:val="20"/>
          <w:szCs w:val="20"/>
        </w:rPr>
        <w:t>oskytovatel:</w:t>
      </w:r>
    </w:p>
    <w:p w:rsidR="000F69DF" w:rsidRDefault="00D65FD5" w:rsidP="000F69DF">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Pr>
          <w:rFonts w:ascii="Arial" w:eastAsia="Arial" w:hAnsi="Arial" w:cs="Arial"/>
          <w:sz w:val="20"/>
          <w:szCs w:val="20"/>
        </w:rPr>
        <w:tab/>
        <w:t xml:space="preserve"> dne </w:t>
      </w:r>
      <w:r>
        <w:rPr>
          <w:rFonts w:ascii="Arial" w:eastAsia="Arial" w:hAnsi="Arial" w:cs="Arial"/>
          <w:sz w:val="20"/>
          <w:szCs w:val="20"/>
        </w:rPr>
        <w:tab/>
      </w:r>
    </w:p>
    <w:p w:rsidR="000F69DF" w:rsidRDefault="000F69DF" w:rsidP="000F69DF">
      <w:pPr>
        <w:ind w:left="993" w:hanging="993"/>
        <w:rPr>
          <w:rFonts w:ascii="Arial" w:eastAsia="Arial" w:hAnsi="Arial" w:cs="Arial"/>
          <w:sz w:val="20"/>
          <w:szCs w:val="20"/>
        </w:rPr>
      </w:pPr>
    </w:p>
    <w:p w:rsidR="009C647B" w:rsidRDefault="009C647B" w:rsidP="000F69DF">
      <w:pPr>
        <w:ind w:left="993" w:hanging="993"/>
        <w:rPr>
          <w:rFonts w:ascii="Arial" w:eastAsia="Arial" w:hAnsi="Arial" w:cs="Arial"/>
          <w:sz w:val="20"/>
          <w:szCs w:val="20"/>
        </w:rPr>
      </w:pPr>
    </w:p>
    <w:p w:rsidR="000F69DF" w:rsidRDefault="00D65FD5" w:rsidP="000F69DF">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F69DF" w:rsidRPr="00091F87" w:rsidRDefault="00D65FD5" w:rsidP="000F69DF">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8" w:name="Text54"/>
      <w:r w:rsidR="009C647B">
        <w:rPr>
          <w:rFonts w:ascii="Arial" w:eastAsia="Arial" w:hAnsi="Arial" w:cs="Arial"/>
          <w:b/>
          <w:sz w:val="20"/>
          <w:szCs w:val="20"/>
        </w:rPr>
        <w:t>IBR Consulting, s.r.o.</w:t>
      </w:r>
    </w:p>
    <w:p w:rsidR="000F69DF" w:rsidRDefault="00D65FD5" w:rsidP="000F69DF">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8"/>
      <w:r w:rsidR="009C647B">
        <w:rPr>
          <w:rFonts w:ascii="Arial" w:eastAsia="Arial" w:hAnsi="Arial" w:cs="Arial"/>
          <w:sz w:val="20"/>
          <w:szCs w:val="20"/>
        </w:rPr>
        <w:t>Bc. Pavel Panuška</w:t>
      </w:r>
      <w:r>
        <w:rPr>
          <w:rFonts w:ascii="Arial" w:eastAsia="Arial" w:hAnsi="Arial" w:cs="Arial"/>
          <w:sz w:val="20"/>
          <w:szCs w:val="20"/>
        </w:rPr>
        <w:tab/>
      </w:r>
      <w:r w:rsidR="009C647B">
        <w:rPr>
          <w:rFonts w:ascii="Arial" w:eastAsia="Arial" w:hAnsi="Arial" w:cs="Arial"/>
          <w:sz w:val="20"/>
          <w:szCs w:val="20"/>
        </w:rPr>
        <w:t>Ing. František Benč, Ph.D.</w:t>
      </w:r>
    </w:p>
    <w:p w:rsidR="000F69DF" w:rsidRDefault="00D65FD5" w:rsidP="000F69DF">
      <w:pPr>
        <w:tabs>
          <w:tab w:val="center" w:pos="2268"/>
          <w:tab w:val="center" w:pos="6804"/>
        </w:tabs>
        <w:spacing w:after="0"/>
        <w:rPr>
          <w:rFonts w:ascii="Arial" w:eastAsia="Arial" w:hAnsi="Arial" w:cs="Arial"/>
          <w:b/>
          <w:bCs/>
          <w:sz w:val="20"/>
          <w:szCs w:val="20"/>
        </w:rPr>
      </w:pPr>
      <w:bookmarkStart w:id="19" w:name="Text57"/>
      <w:r>
        <w:rPr>
          <w:rFonts w:ascii="Arial" w:eastAsia="Arial" w:hAnsi="Arial" w:cs="Arial"/>
          <w:sz w:val="20"/>
          <w:szCs w:val="20"/>
        </w:rPr>
        <w:tab/>
      </w:r>
      <w:bookmarkEnd w:id="19"/>
      <w:r w:rsidR="009C647B">
        <w:rPr>
          <w:rFonts w:ascii="Arial" w:eastAsia="Arial" w:hAnsi="Arial" w:cs="Arial"/>
          <w:sz w:val="20"/>
          <w:szCs w:val="20"/>
        </w:rPr>
        <w:t>generální ředitel</w:t>
      </w:r>
      <w:r>
        <w:rPr>
          <w:rFonts w:ascii="Arial" w:eastAsia="Arial" w:hAnsi="Arial" w:cs="Arial"/>
          <w:sz w:val="20"/>
          <w:szCs w:val="20"/>
        </w:rPr>
        <w:tab/>
      </w:r>
      <w:r w:rsidR="009C647B">
        <w:rPr>
          <w:rFonts w:ascii="Arial" w:eastAsia="Arial" w:hAnsi="Arial" w:cs="Arial"/>
          <w:sz w:val="20"/>
          <w:szCs w:val="20"/>
        </w:rPr>
        <w:t>jednatel</w:t>
      </w:r>
    </w:p>
    <w:p w:rsidR="000F69DF" w:rsidRDefault="000F69DF" w:rsidP="000F69DF">
      <w:pPr>
        <w:spacing w:after="0"/>
        <w:rPr>
          <w:rFonts w:ascii="Arial" w:eastAsia="Arial" w:hAnsi="Arial" w:cs="Arial"/>
          <w:b/>
          <w:bCs/>
          <w:sz w:val="20"/>
          <w:szCs w:val="20"/>
        </w:rPr>
      </w:pPr>
    </w:p>
    <w:p w:rsidR="000F69DF" w:rsidRPr="00091F87" w:rsidRDefault="000F69DF" w:rsidP="000F69DF">
      <w:pPr>
        <w:spacing w:after="0"/>
        <w:rPr>
          <w:rFonts w:ascii="Arial" w:eastAsia="Arial" w:hAnsi="Arial" w:cs="Arial"/>
          <w:b/>
          <w:bCs/>
          <w:sz w:val="16"/>
          <w:szCs w:val="16"/>
        </w:rPr>
      </w:pPr>
    </w:p>
    <w:p w:rsidR="000F69DF" w:rsidRPr="00696E1B" w:rsidRDefault="00D65FD5" w:rsidP="000F69DF">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9C647B">
        <w:rPr>
          <w:rFonts w:ascii="Arial" w:eastAsia="Arial" w:hAnsi="Arial" w:cs="Arial"/>
          <w:sz w:val="16"/>
          <w:szCs w:val="16"/>
        </w:rPr>
        <w:t>Michaela Fišerová,</w:t>
      </w:r>
      <w:r w:rsidRPr="002A7DD5">
        <w:rPr>
          <w:rFonts w:ascii="Arial" w:eastAsia="Arial" w:hAnsi="Arial" w:cs="Arial"/>
          <w:sz w:val="16"/>
          <w:szCs w:val="16"/>
        </w:rPr>
        <w:t xml:space="preserve"> dne </w:t>
      </w:r>
      <w:r w:rsidR="009C647B">
        <w:rPr>
          <w:rFonts w:ascii="Arial" w:eastAsia="Arial" w:hAnsi="Arial" w:cs="Arial"/>
          <w:sz w:val="16"/>
          <w:szCs w:val="16"/>
        </w:rPr>
        <w:t>7.8.2017</w:t>
      </w:r>
    </w:p>
    <w:p w:rsidR="000F69DF" w:rsidRDefault="000F69DF">
      <w:pPr>
        <w:rPr>
          <w:rFonts w:ascii="Arial" w:eastAsia="Arial" w:hAnsi="Arial" w:cs="Arial"/>
          <w:b/>
          <w:bCs/>
          <w:sz w:val="20"/>
          <w:szCs w:val="20"/>
        </w:rPr>
      </w:pPr>
    </w:p>
    <w:p w:rsidR="000F69DF" w:rsidRDefault="000F69DF">
      <w:pPr>
        <w:rPr>
          <w:rFonts w:ascii="Arial" w:eastAsia="Arial" w:hAnsi="Arial" w:cs="Arial"/>
          <w:b/>
          <w:bCs/>
          <w:sz w:val="20"/>
          <w:szCs w:val="20"/>
        </w:rPr>
      </w:pPr>
    </w:p>
    <w:p w:rsidR="000F69DF" w:rsidRDefault="000F69DF">
      <w:pPr>
        <w:rPr>
          <w:rFonts w:ascii="Arial" w:eastAsia="Arial" w:hAnsi="Arial" w:cs="Arial"/>
          <w:b/>
          <w:bCs/>
          <w:sz w:val="20"/>
          <w:szCs w:val="20"/>
        </w:rPr>
      </w:pPr>
    </w:p>
    <w:p w:rsidR="000F69DF" w:rsidRDefault="00D65FD5">
      <w:pPr>
        <w:rPr>
          <w:rFonts w:ascii="Arial" w:eastAsia="Arial" w:hAnsi="Arial" w:cs="Arial"/>
          <w:b/>
          <w:bCs/>
          <w:sz w:val="20"/>
          <w:szCs w:val="20"/>
        </w:rPr>
      </w:pPr>
      <w:r>
        <w:rPr>
          <w:rFonts w:ascii="Arial" w:eastAsia="Arial" w:hAnsi="Arial" w:cs="Arial"/>
          <w:b/>
          <w:bCs/>
          <w:sz w:val="20"/>
          <w:szCs w:val="20"/>
        </w:rPr>
        <w:t>Příloha č. 1.</w:t>
      </w:r>
    </w:p>
    <w:p w:rsidR="000F69DF" w:rsidRDefault="00D65FD5">
      <w:pPr>
        <w:rPr>
          <w:rFonts w:ascii="Arial" w:eastAsia="Arial" w:hAnsi="Arial" w:cs="Arial"/>
          <w:b/>
          <w:bCs/>
          <w:sz w:val="20"/>
          <w:szCs w:val="20"/>
        </w:rPr>
      </w:pPr>
      <w:r>
        <w:rPr>
          <w:rFonts w:ascii="Arial" w:eastAsia="Arial" w:hAnsi="Arial" w:cs="Arial"/>
          <w:b/>
          <w:bCs/>
          <w:sz w:val="20"/>
          <w:szCs w:val="20"/>
        </w:rPr>
        <w:t>Osoby pověřené poskytovatelem</w:t>
      </w:r>
    </w:p>
    <w:p w:rsidR="000F69DF" w:rsidRDefault="00D65FD5">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0F69DF" w:rsidRDefault="00D65FD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0F69DF" w:rsidRDefault="00D65FD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6C0A9E">
        <w:rPr>
          <w:rFonts w:ascii="Arial" w:eastAsia="Arial" w:hAnsi="Arial" w:cs="Arial"/>
          <w:sz w:val="20"/>
          <w:szCs w:val="20"/>
        </w:rPr>
        <w:t>Ing. Šlajs</w:t>
      </w:r>
    </w:p>
    <w:p w:rsidR="000F69DF" w:rsidRDefault="00D65FD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0F69DF" w:rsidRDefault="00D65FD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6C0A9E">
        <w:rPr>
          <w:rFonts w:ascii="Arial" w:eastAsia="Arial" w:hAnsi="Arial" w:cs="Arial"/>
          <w:sz w:val="20"/>
          <w:szCs w:val="20"/>
        </w:rPr>
        <w:t>Ing. Blažek</w:t>
      </w:r>
    </w:p>
    <w:p w:rsidR="000F69DF" w:rsidRDefault="00D65FD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0F69DF" w:rsidRDefault="00D65FD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6C0A9E">
        <w:rPr>
          <w:rFonts w:ascii="Arial" w:eastAsia="Arial" w:hAnsi="Arial" w:cs="Arial"/>
          <w:sz w:val="20"/>
          <w:szCs w:val="20"/>
        </w:rPr>
        <w:t>Ing. Šindelář</w:t>
      </w:r>
    </w:p>
    <w:p w:rsidR="000F69DF" w:rsidRPr="006C0A9E" w:rsidRDefault="00D65FD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sidRPr="006C0A9E">
        <w:rPr>
          <w:rFonts w:ascii="Arial" w:eastAsia="Arial" w:hAnsi="Arial" w:cs="Arial"/>
          <w:sz w:val="20"/>
          <w:szCs w:val="20"/>
        </w:rPr>
        <w:t>člen realizačního týmu</w:t>
      </w:r>
      <w:r w:rsidRPr="006C0A9E">
        <w:rPr>
          <w:rFonts w:ascii="Arial" w:eastAsia="Arial" w:hAnsi="Arial" w:cs="Arial"/>
          <w:sz w:val="20"/>
          <w:szCs w:val="20"/>
        </w:rPr>
        <w:tab/>
      </w:r>
    </w:p>
    <w:p w:rsidR="000F69DF" w:rsidRPr="006C0A9E" w:rsidRDefault="00D65FD5">
      <w:pPr>
        <w:pStyle w:val="Odstavecseseznamem1"/>
        <w:tabs>
          <w:tab w:val="left" w:pos="1260"/>
        </w:tabs>
        <w:spacing w:after="240" w:line="240" w:lineRule="auto"/>
        <w:ind w:left="357"/>
        <w:rPr>
          <w:rFonts w:ascii="Arial" w:eastAsia="Arial" w:hAnsi="Arial" w:cs="Arial"/>
          <w:sz w:val="20"/>
          <w:szCs w:val="20"/>
        </w:rPr>
      </w:pPr>
      <w:r w:rsidRPr="006C0A9E">
        <w:rPr>
          <w:rFonts w:ascii="Arial" w:eastAsia="Arial" w:hAnsi="Arial" w:cs="Arial"/>
          <w:sz w:val="20"/>
          <w:szCs w:val="20"/>
        </w:rPr>
        <w:tab/>
      </w:r>
      <w:r w:rsidR="006C0A9E" w:rsidRPr="006C0A9E">
        <w:rPr>
          <w:rFonts w:ascii="Arial" w:eastAsia="Arial" w:hAnsi="Arial" w:cs="Arial"/>
          <w:sz w:val="20"/>
          <w:szCs w:val="20"/>
        </w:rPr>
        <w:t>Ing. Kadlec</w:t>
      </w:r>
    </w:p>
    <w:sectPr w:rsidR="000F69DF" w:rsidRPr="006C0A9E" w:rsidSect="000F69DF">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CC" w:rsidRDefault="00B246CC">
      <w:pPr>
        <w:spacing w:after="0" w:line="240" w:lineRule="auto"/>
      </w:pPr>
      <w:r>
        <w:separator/>
      </w:r>
    </w:p>
  </w:endnote>
  <w:endnote w:type="continuationSeparator" w:id="0">
    <w:p w:rsidR="00B246CC" w:rsidRDefault="00B2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7B" w:rsidRPr="00231EA7" w:rsidRDefault="009C647B" w:rsidP="000F69DF">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596737">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596737">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CC" w:rsidRDefault="00B246CC">
      <w:pPr>
        <w:spacing w:after="0" w:line="240" w:lineRule="auto"/>
      </w:pPr>
      <w:r>
        <w:separator/>
      </w:r>
    </w:p>
  </w:footnote>
  <w:footnote w:type="continuationSeparator" w:id="0">
    <w:p w:rsidR="00B246CC" w:rsidRDefault="00B24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71B6B03A">
      <w:start w:val="1"/>
      <w:numFmt w:val="lowerLetter"/>
      <w:lvlText w:val="%1)"/>
      <w:lvlJc w:val="left"/>
      <w:pPr>
        <w:ind w:left="1067" w:hanging="360"/>
      </w:pPr>
      <w:rPr>
        <w:rFonts w:hint="default"/>
      </w:rPr>
    </w:lvl>
    <w:lvl w:ilvl="1" w:tplc="3A46EB08" w:tentative="1">
      <w:start w:val="1"/>
      <w:numFmt w:val="lowerLetter"/>
      <w:lvlText w:val="%2."/>
      <w:lvlJc w:val="left"/>
      <w:pPr>
        <w:ind w:left="1787" w:hanging="360"/>
      </w:pPr>
    </w:lvl>
    <w:lvl w:ilvl="2" w:tplc="1FBE210C" w:tentative="1">
      <w:start w:val="1"/>
      <w:numFmt w:val="lowerRoman"/>
      <w:lvlText w:val="%3."/>
      <w:lvlJc w:val="right"/>
      <w:pPr>
        <w:ind w:left="2507" w:hanging="180"/>
      </w:pPr>
    </w:lvl>
    <w:lvl w:ilvl="3" w:tplc="4C8C1D94" w:tentative="1">
      <w:start w:val="1"/>
      <w:numFmt w:val="decimal"/>
      <w:lvlText w:val="%4."/>
      <w:lvlJc w:val="left"/>
      <w:pPr>
        <w:ind w:left="3227" w:hanging="360"/>
      </w:pPr>
    </w:lvl>
    <w:lvl w:ilvl="4" w:tplc="156AD8AE" w:tentative="1">
      <w:start w:val="1"/>
      <w:numFmt w:val="lowerLetter"/>
      <w:lvlText w:val="%5."/>
      <w:lvlJc w:val="left"/>
      <w:pPr>
        <w:ind w:left="3947" w:hanging="360"/>
      </w:pPr>
    </w:lvl>
    <w:lvl w:ilvl="5" w:tplc="044C4CD0" w:tentative="1">
      <w:start w:val="1"/>
      <w:numFmt w:val="lowerRoman"/>
      <w:lvlText w:val="%6."/>
      <w:lvlJc w:val="right"/>
      <w:pPr>
        <w:ind w:left="4667" w:hanging="180"/>
      </w:pPr>
    </w:lvl>
    <w:lvl w:ilvl="6" w:tplc="54B29040" w:tentative="1">
      <w:start w:val="1"/>
      <w:numFmt w:val="decimal"/>
      <w:lvlText w:val="%7."/>
      <w:lvlJc w:val="left"/>
      <w:pPr>
        <w:ind w:left="5387" w:hanging="360"/>
      </w:pPr>
    </w:lvl>
    <w:lvl w:ilvl="7" w:tplc="94C4A746" w:tentative="1">
      <w:start w:val="1"/>
      <w:numFmt w:val="lowerLetter"/>
      <w:lvlText w:val="%8."/>
      <w:lvlJc w:val="left"/>
      <w:pPr>
        <w:ind w:left="6107" w:hanging="360"/>
      </w:pPr>
    </w:lvl>
    <w:lvl w:ilvl="8" w:tplc="BFFEEB82"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8618E3F0">
      <w:start w:val="1"/>
      <w:numFmt w:val="lowerLetter"/>
      <w:lvlText w:val="%1)"/>
      <w:lvlJc w:val="left"/>
      <w:pPr>
        <w:ind w:left="1069" w:hanging="360"/>
      </w:pPr>
      <w:rPr>
        <w:rFonts w:hint="default"/>
      </w:rPr>
    </w:lvl>
    <w:lvl w:ilvl="1" w:tplc="2B28EA02" w:tentative="1">
      <w:start w:val="1"/>
      <w:numFmt w:val="lowerLetter"/>
      <w:lvlText w:val="%2."/>
      <w:lvlJc w:val="left"/>
      <w:pPr>
        <w:ind w:left="1789" w:hanging="360"/>
      </w:pPr>
    </w:lvl>
    <w:lvl w:ilvl="2" w:tplc="F8185B5E" w:tentative="1">
      <w:start w:val="1"/>
      <w:numFmt w:val="lowerRoman"/>
      <w:lvlText w:val="%3."/>
      <w:lvlJc w:val="right"/>
      <w:pPr>
        <w:ind w:left="2509" w:hanging="180"/>
      </w:pPr>
    </w:lvl>
    <w:lvl w:ilvl="3" w:tplc="AA5ABC90" w:tentative="1">
      <w:start w:val="1"/>
      <w:numFmt w:val="decimal"/>
      <w:lvlText w:val="%4."/>
      <w:lvlJc w:val="left"/>
      <w:pPr>
        <w:ind w:left="3229" w:hanging="360"/>
      </w:pPr>
    </w:lvl>
    <w:lvl w:ilvl="4" w:tplc="79D2F0C4" w:tentative="1">
      <w:start w:val="1"/>
      <w:numFmt w:val="lowerLetter"/>
      <w:lvlText w:val="%5."/>
      <w:lvlJc w:val="left"/>
      <w:pPr>
        <w:ind w:left="3949" w:hanging="360"/>
      </w:pPr>
    </w:lvl>
    <w:lvl w:ilvl="5" w:tplc="1674DBA4" w:tentative="1">
      <w:start w:val="1"/>
      <w:numFmt w:val="lowerRoman"/>
      <w:lvlText w:val="%6."/>
      <w:lvlJc w:val="right"/>
      <w:pPr>
        <w:ind w:left="4669" w:hanging="180"/>
      </w:pPr>
    </w:lvl>
    <w:lvl w:ilvl="6" w:tplc="D660DEAA" w:tentative="1">
      <w:start w:val="1"/>
      <w:numFmt w:val="decimal"/>
      <w:lvlText w:val="%7."/>
      <w:lvlJc w:val="left"/>
      <w:pPr>
        <w:ind w:left="5389" w:hanging="360"/>
      </w:pPr>
    </w:lvl>
    <w:lvl w:ilvl="7" w:tplc="D430D998" w:tentative="1">
      <w:start w:val="1"/>
      <w:numFmt w:val="lowerLetter"/>
      <w:lvlText w:val="%8."/>
      <w:lvlJc w:val="left"/>
      <w:pPr>
        <w:ind w:left="6109" w:hanging="360"/>
      </w:pPr>
    </w:lvl>
    <w:lvl w:ilvl="8" w:tplc="2258E3DC"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09"/>
    <w:rsid w:val="000F69DF"/>
    <w:rsid w:val="0011597C"/>
    <w:rsid w:val="00350209"/>
    <w:rsid w:val="00440ACE"/>
    <w:rsid w:val="00495EA9"/>
    <w:rsid w:val="00596737"/>
    <w:rsid w:val="006C0A9E"/>
    <w:rsid w:val="008262A3"/>
    <w:rsid w:val="008F0CE2"/>
    <w:rsid w:val="008F65AF"/>
    <w:rsid w:val="009C647B"/>
    <w:rsid w:val="00B246CC"/>
    <w:rsid w:val="00CA5A33"/>
    <w:rsid w:val="00D65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B250412C.dotm</Template>
  <TotalTime>1</TotalTime>
  <Pages>9</Pages>
  <Words>3790</Words>
  <Characters>22364</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2017-08-09T05:05:00Z</cp:lastPrinted>
  <dcterms:created xsi:type="dcterms:W3CDTF">2017-08-09T05:06:00Z</dcterms:created>
  <dcterms:modified xsi:type="dcterms:W3CDTF">2017-08-09T05:06:00Z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