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5E154" w14:textId="77777777" w:rsidR="00D70EC1" w:rsidRPr="00D70EC1" w:rsidRDefault="00D70EC1" w:rsidP="00D70EC1">
      <w:pPr>
        <w:jc w:val="center"/>
        <w:rPr>
          <w:b/>
          <w:sz w:val="24"/>
        </w:rPr>
      </w:pPr>
      <w:r w:rsidRPr="00D70EC1">
        <w:rPr>
          <w:b/>
          <w:sz w:val="24"/>
        </w:rPr>
        <w:t>SMLOUVA O SMLOUVĚ BUDOUCÍ KUPNÍ O DODÁVCE TEPELNÉ ENERGIE</w:t>
      </w:r>
    </w:p>
    <w:p w14:paraId="31425153" w14:textId="77777777" w:rsidR="00D70EC1" w:rsidRPr="00D70EC1" w:rsidRDefault="00D70EC1" w:rsidP="00D70EC1">
      <w:pPr>
        <w:pStyle w:val="Podtitul"/>
        <w:jc w:val="center"/>
        <w:rPr>
          <w:rFonts w:cstheme="minorHAnsi"/>
          <w:sz w:val="16"/>
          <w:szCs w:val="16"/>
        </w:rPr>
      </w:pPr>
      <w:r w:rsidRPr="00D70EC1">
        <w:rPr>
          <w:rFonts w:cstheme="minorHAnsi"/>
          <w:sz w:val="16"/>
          <w:szCs w:val="16"/>
        </w:rPr>
        <w:t>(dále jen „</w:t>
      </w:r>
      <w:r w:rsidRPr="00D70EC1">
        <w:rPr>
          <w:rFonts w:cstheme="minorHAnsi"/>
          <w:b/>
          <w:sz w:val="16"/>
          <w:szCs w:val="16"/>
        </w:rPr>
        <w:t>Smlouva</w:t>
      </w:r>
      <w:r w:rsidRPr="00D70EC1">
        <w:rPr>
          <w:rFonts w:cstheme="minorHAnsi"/>
          <w:sz w:val="16"/>
          <w:szCs w:val="16"/>
        </w:rPr>
        <w:t>“) uzavřená v souladu s ustanoveními § 1785 a násl. zák. č. 89/2012 Sb., občanský zákoník, ve  znění pozdějších předpisů (dále také pouze „</w:t>
      </w:r>
      <w:r w:rsidRPr="00D70EC1">
        <w:rPr>
          <w:rFonts w:cstheme="minorHAnsi"/>
          <w:b/>
          <w:sz w:val="16"/>
          <w:szCs w:val="16"/>
        </w:rPr>
        <w:t>občanský zákoník</w:t>
      </w:r>
      <w:r w:rsidRPr="00D70EC1">
        <w:rPr>
          <w:rFonts w:cstheme="minorHAnsi"/>
          <w:sz w:val="16"/>
          <w:szCs w:val="16"/>
        </w:rPr>
        <w:t>“), a zákona č. 458/2000 Sb., energetický zákon, ve  znění pozdějších předpisů, mezi smluvními stranami:</w:t>
      </w:r>
    </w:p>
    <w:p w14:paraId="58369B44" w14:textId="77777777" w:rsidR="00D70EC1" w:rsidRPr="00625C66" w:rsidRDefault="00D70EC1" w:rsidP="00D70EC1">
      <w:pPr>
        <w:jc w:val="center"/>
        <w:rPr>
          <w:b/>
        </w:rPr>
      </w:pPr>
    </w:p>
    <w:p w14:paraId="41EF6FCC" w14:textId="6598BA33" w:rsidR="00D70EC1" w:rsidRPr="00552C48" w:rsidRDefault="00D70EC1" w:rsidP="00EA1F3B">
      <w:pPr>
        <w:spacing w:after="60" w:line="276" w:lineRule="auto"/>
        <w:rPr>
          <w:rFonts w:asciiTheme="minorHAnsi" w:hAnsiTheme="minorHAnsi" w:cstheme="minorHAnsi"/>
          <w:b/>
          <w:sz w:val="21"/>
          <w:szCs w:val="21"/>
        </w:rPr>
      </w:pPr>
      <w:r w:rsidRPr="00552C48">
        <w:rPr>
          <w:rFonts w:asciiTheme="minorHAnsi" w:hAnsiTheme="minorHAnsi" w:cstheme="minorHAnsi"/>
          <w:b/>
          <w:sz w:val="21"/>
          <w:szCs w:val="21"/>
        </w:rPr>
        <w:t>Teplárna Liberec, a.s.</w:t>
      </w:r>
    </w:p>
    <w:p w14:paraId="19A0B4C3" w14:textId="77777777" w:rsidR="00D70EC1" w:rsidRPr="008D4672" w:rsidRDefault="00D70EC1" w:rsidP="00D70EC1">
      <w:pPr>
        <w:spacing w:after="60" w:line="276" w:lineRule="auto"/>
        <w:rPr>
          <w:rFonts w:asciiTheme="minorHAnsi" w:hAnsiTheme="minorHAnsi" w:cstheme="minorHAnsi"/>
          <w:sz w:val="20"/>
          <w:szCs w:val="20"/>
        </w:rPr>
      </w:pPr>
      <w:r w:rsidRPr="008D4672">
        <w:rPr>
          <w:rFonts w:asciiTheme="minorHAnsi" w:hAnsiTheme="minorHAnsi" w:cstheme="minorHAnsi"/>
          <w:sz w:val="20"/>
          <w:szCs w:val="20"/>
        </w:rPr>
        <w:t xml:space="preserve">se sídlem: </w:t>
      </w:r>
      <w:r w:rsidRPr="008D4672">
        <w:rPr>
          <w:rFonts w:asciiTheme="minorHAnsi" w:hAnsiTheme="minorHAnsi" w:cstheme="minorHAnsi"/>
          <w:sz w:val="20"/>
          <w:szCs w:val="20"/>
        </w:rPr>
        <w:tab/>
      </w:r>
      <w:r w:rsidRPr="008D4672">
        <w:rPr>
          <w:rFonts w:asciiTheme="minorHAnsi" w:hAnsiTheme="minorHAnsi" w:cstheme="minorHAnsi"/>
          <w:sz w:val="20"/>
          <w:szCs w:val="20"/>
        </w:rPr>
        <w:tab/>
      </w:r>
      <w:r w:rsidRPr="008D4672">
        <w:rPr>
          <w:rFonts w:asciiTheme="minorHAnsi" w:hAnsiTheme="minorHAnsi" w:cstheme="minorHAnsi"/>
          <w:sz w:val="20"/>
          <w:szCs w:val="20"/>
        </w:rPr>
        <w:tab/>
        <w:t>Dr. Milady Horákové 641/34a, Liberec IV-Perštýn, PSČ 460 01</w:t>
      </w:r>
    </w:p>
    <w:p w14:paraId="4543538A" w14:textId="2B645574" w:rsidR="00D70EC1" w:rsidRPr="008D4672" w:rsidRDefault="00D70EC1" w:rsidP="00D70EC1">
      <w:pPr>
        <w:spacing w:after="60" w:line="276" w:lineRule="auto"/>
        <w:ind w:left="2124" w:firstLine="708"/>
        <w:rPr>
          <w:rFonts w:asciiTheme="minorHAnsi" w:hAnsiTheme="minorHAnsi" w:cstheme="minorHAnsi"/>
          <w:sz w:val="20"/>
          <w:szCs w:val="20"/>
        </w:rPr>
      </w:pPr>
      <w:r w:rsidRPr="008D4672">
        <w:rPr>
          <w:rFonts w:asciiTheme="minorHAnsi" w:hAnsiTheme="minorHAnsi" w:cstheme="minorHAnsi"/>
          <w:sz w:val="20"/>
          <w:szCs w:val="20"/>
        </w:rPr>
        <w:t xml:space="preserve">zapsaná v obchodním rejstříku vedeném Krajským soudem </w:t>
      </w:r>
      <w:r w:rsidRPr="008D4672">
        <w:rPr>
          <w:rFonts w:asciiTheme="minorHAnsi" w:hAnsiTheme="minorHAnsi" w:cstheme="minorHAnsi"/>
          <w:sz w:val="20"/>
          <w:szCs w:val="20"/>
        </w:rPr>
        <w:tab/>
      </w:r>
      <w:r w:rsidRPr="008D4672">
        <w:rPr>
          <w:rFonts w:asciiTheme="minorHAnsi" w:hAnsiTheme="minorHAnsi" w:cstheme="minorHAnsi"/>
          <w:sz w:val="20"/>
          <w:szCs w:val="20"/>
        </w:rPr>
        <w:tab/>
      </w:r>
      <w:r w:rsidRPr="008D4672">
        <w:rPr>
          <w:rFonts w:asciiTheme="minorHAnsi" w:hAnsiTheme="minorHAnsi" w:cstheme="minorHAnsi"/>
          <w:sz w:val="20"/>
          <w:szCs w:val="20"/>
        </w:rPr>
        <w:tab/>
        <w:t>v Ústí nad Labem, oddíl B, vložka 653</w:t>
      </w:r>
    </w:p>
    <w:p w14:paraId="42E89F89" w14:textId="77777777" w:rsidR="00D70EC1" w:rsidRPr="008D4672" w:rsidRDefault="00D70EC1" w:rsidP="00D70EC1">
      <w:pPr>
        <w:spacing w:after="60" w:line="276" w:lineRule="auto"/>
        <w:rPr>
          <w:rFonts w:asciiTheme="minorHAnsi" w:hAnsiTheme="minorHAnsi" w:cstheme="minorHAnsi"/>
          <w:sz w:val="20"/>
          <w:szCs w:val="20"/>
        </w:rPr>
      </w:pPr>
      <w:r w:rsidRPr="008D4672">
        <w:rPr>
          <w:rFonts w:asciiTheme="minorHAnsi" w:hAnsiTheme="minorHAnsi" w:cstheme="minorHAnsi"/>
          <w:sz w:val="20"/>
          <w:szCs w:val="20"/>
        </w:rPr>
        <w:t xml:space="preserve">zastoupená: </w:t>
      </w:r>
      <w:r w:rsidRPr="008D4672">
        <w:rPr>
          <w:rFonts w:asciiTheme="minorHAnsi" w:hAnsiTheme="minorHAnsi" w:cstheme="minorHAnsi"/>
          <w:sz w:val="20"/>
          <w:szCs w:val="20"/>
        </w:rPr>
        <w:tab/>
      </w:r>
      <w:r w:rsidRPr="008D4672">
        <w:rPr>
          <w:rFonts w:asciiTheme="minorHAnsi" w:hAnsiTheme="minorHAnsi" w:cstheme="minorHAnsi"/>
          <w:sz w:val="20"/>
          <w:szCs w:val="20"/>
        </w:rPr>
        <w:tab/>
      </w:r>
      <w:r w:rsidRPr="008D4672">
        <w:rPr>
          <w:rFonts w:asciiTheme="minorHAnsi" w:hAnsiTheme="minorHAnsi" w:cstheme="minorHAnsi"/>
          <w:sz w:val="20"/>
          <w:szCs w:val="20"/>
        </w:rPr>
        <w:tab/>
        <w:t>Ing. Janem Sedláčkem, předsedou představenstva</w:t>
      </w:r>
    </w:p>
    <w:p w14:paraId="713D32C4" w14:textId="77777777" w:rsidR="00D70EC1" w:rsidRPr="008D4672" w:rsidRDefault="00D70EC1" w:rsidP="00D70EC1">
      <w:pPr>
        <w:spacing w:after="60" w:line="276" w:lineRule="auto"/>
        <w:ind w:left="2124" w:firstLine="708"/>
        <w:rPr>
          <w:rFonts w:asciiTheme="minorHAnsi" w:hAnsiTheme="minorHAnsi" w:cstheme="minorHAnsi"/>
          <w:sz w:val="20"/>
          <w:szCs w:val="20"/>
        </w:rPr>
      </w:pPr>
      <w:r w:rsidRPr="008D4672">
        <w:rPr>
          <w:rFonts w:asciiTheme="minorHAnsi" w:hAnsiTheme="minorHAnsi" w:cstheme="minorHAnsi"/>
          <w:sz w:val="20"/>
          <w:szCs w:val="20"/>
        </w:rPr>
        <w:t>Ing. Petrem Boukalem, místopředsedou představenstva</w:t>
      </w:r>
    </w:p>
    <w:p w14:paraId="53D18DE6" w14:textId="1EB87E21" w:rsidR="00D70EC1" w:rsidRPr="008D4672" w:rsidRDefault="00D70EC1" w:rsidP="00D70EC1">
      <w:pPr>
        <w:spacing w:after="60" w:line="276" w:lineRule="auto"/>
        <w:rPr>
          <w:rFonts w:asciiTheme="minorHAnsi" w:hAnsiTheme="minorHAnsi" w:cstheme="minorHAnsi"/>
          <w:sz w:val="20"/>
          <w:szCs w:val="20"/>
        </w:rPr>
      </w:pPr>
      <w:r w:rsidRPr="008D4672">
        <w:rPr>
          <w:rFonts w:asciiTheme="minorHAnsi" w:hAnsiTheme="minorHAnsi" w:cstheme="minorHAnsi"/>
          <w:sz w:val="20"/>
          <w:szCs w:val="20"/>
        </w:rPr>
        <w:t>IČ</w:t>
      </w:r>
      <w:r w:rsidR="00B228BD" w:rsidRPr="008D4672">
        <w:rPr>
          <w:rFonts w:asciiTheme="minorHAnsi" w:hAnsiTheme="minorHAnsi" w:cstheme="minorHAnsi"/>
          <w:sz w:val="20"/>
          <w:szCs w:val="20"/>
        </w:rPr>
        <w:t>O</w:t>
      </w:r>
      <w:r w:rsidRPr="008D4672">
        <w:rPr>
          <w:rFonts w:asciiTheme="minorHAnsi" w:hAnsiTheme="minorHAnsi" w:cstheme="minorHAnsi"/>
          <w:sz w:val="20"/>
          <w:szCs w:val="20"/>
        </w:rPr>
        <w:t>:</w:t>
      </w:r>
      <w:r w:rsidRPr="008D4672">
        <w:rPr>
          <w:rFonts w:asciiTheme="minorHAnsi" w:hAnsiTheme="minorHAnsi" w:cstheme="minorHAnsi"/>
          <w:sz w:val="20"/>
          <w:szCs w:val="20"/>
        </w:rPr>
        <w:tab/>
      </w:r>
      <w:r w:rsidRPr="008D4672">
        <w:rPr>
          <w:rFonts w:asciiTheme="minorHAnsi" w:hAnsiTheme="minorHAnsi" w:cstheme="minorHAnsi"/>
          <w:sz w:val="20"/>
          <w:szCs w:val="20"/>
        </w:rPr>
        <w:tab/>
      </w:r>
      <w:r w:rsidRPr="008D4672">
        <w:rPr>
          <w:rFonts w:asciiTheme="minorHAnsi" w:hAnsiTheme="minorHAnsi" w:cstheme="minorHAnsi"/>
          <w:sz w:val="20"/>
          <w:szCs w:val="20"/>
        </w:rPr>
        <w:tab/>
      </w:r>
      <w:r w:rsidRPr="008D4672">
        <w:rPr>
          <w:rFonts w:asciiTheme="minorHAnsi" w:hAnsiTheme="minorHAnsi" w:cstheme="minorHAnsi"/>
          <w:sz w:val="20"/>
          <w:szCs w:val="20"/>
        </w:rPr>
        <w:tab/>
        <w:t>62241672</w:t>
      </w:r>
    </w:p>
    <w:p w14:paraId="293DA4C5" w14:textId="77777777" w:rsidR="00D70EC1" w:rsidRPr="008D4672" w:rsidRDefault="00D70EC1" w:rsidP="00D70EC1">
      <w:pPr>
        <w:spacing w:after="60" w:line="276" w:lineRule="auto"/>
        <w:rPr>
          <w:rFonts w:asciiTheme="minorHAnsi" w:hAnsiTheme="minorHAnsi" w:cstheme="minorHAnsi"/>
          <w:sz w:val="20"/>
          <w:szCs w:val="20"/>
        </w:rPr>
      </w:pPr>
      <w:r w:rsidRPr="008D4672">
        <w:rPr>
          <w:rFonts w:asciiTheme="minorHAnsi" w:hAnsiTheme="minorHAnsi" w:cstheme="minorHAnsi"/>
          <w:sz w:val="20"/>
          <w:szCs w:val="20"/>
        </w:rPr>
        <w:t>DIČ:</w:t>
      </w:r>
      <w:r w:rsidRPr="008D4672">
        <w:rPr>
          <w:rFonts w:asciiTheme="minorHAnsi" w:hAnsiTheme="minorHAnsi" w:cstheme="minorHAnsi"/>
          <w:sz w:val="20"/>
          <w:szCs w:val="20"/>
        </w:rPr>
        <w:tab/>
      </w:r>
      <w:r w:rsidRPr="008D4672">
        <w:rPr>
          <w:rFonts w:asciiTheme="minorHAnsi" w:hAnsiTheme="minorHAnsi" w:cstheme="minorHAnsi"/>
          <w:sz w:val="20"/>
          <w:szCs w:val="20"/>
        </w:rPr>
        <w:tab/>
      </w:r>
      <w:r w:rsidRPr="008D4672">
        <w:rPr>
          <w:rFonts w:asciiTheme="minorHAnsi" w:hAnsiTheme="minorHAnsi" w:cstheme="minorHAnsi"/>
          <w:sz w:val="20"/>
          <w:szCs w:val="20"/>
        </w:rPr>
        <w:tab/>
      </w:r>
      <w:r w:rsidRPr="008D4672">
        <w:rPr>
          <w:rFonts w:asciiTheme="minorHAnsi" w:hAnsiTheme="minorHAnsi" w:cstheme="minorHAnsi"/>
          <w:sz w:val="20"/>
          <w:szCs w:val="20"/>
        </w:rPr>
        <w:tab/>
        <w:t>CZ62241672</w:t>
      </w:r>
    </w:p>
    <w:p w14:paraId="3CE6E8D7" w14:textId="77777777" w:rsidR="00D70EC1" w:rsidRPr="008D4672" w:rsidRDefault="00D70EC1" w:rsidP="00D70EC1">
      <w:pPr>
        <w:spacing w:line="276" w:lineRule="auto"/>
        <w:rPr>
          <w:rFonts w:asciiTheme="minorHAnsi" w:hAnsiTheme="minorHAnsi" w:cstheme="minorHAnsi"/>
          <w:sz w:val="20"/>
          <w:szCs w:val="20"/>
        </w:rPr>
      </w:pPr>
      <w:r w:rsidRPr="008D4672">
        <w:rPr>
          <w:rFonts w:asciiTheme="minorHAnsi" w:hAnsiTheme="minorHAnsi" w:cstheme="minorHAnsi"/>
          <w:sz w:val="20"/>
          <w:szCs w:val="20"/>
        </w:rPr>
        <w:t>(dále jen</w:t>
      </w:r>
      <w:r w:rsidRPr="008D4672">
        <w:rPr>
          <w:rFonts w:asciiTheme="minorHAnsi" w:hAnsiTheme="minorHAnsi" w:cstheme="minorHAnsi"/>
          <w:b/>
          <w:sz w:val="20"/>
          <w:szCs w:val="20"/>
        </w:rPr>
        <w:t xml:space="preserve"> „TLI“</w:t>
      </w:r>
      <w:r w:rsidRPr="008D4672">
        <w:rPr>
          <w:rFonts w:asciiTheme="minorHAnsi" w:hAnsiTheme="minorHAnsi" w:cstheme="minorHAnsi"/>
          <w:sz w:val="20"/>
          <w:szCs w:val="20"/>
        </w:rPr>
        <w:t>)</w:t>
      </w:r>
    </w:p>
    <w:p w14:paraId="017F60B1" w14:textId="77777777" w:rsidR="00D70EC1" w:rsidRPr="008D4672" w:rsidRDefault="00D70EC1" w:rsidP="00D70EC1">
      <w:pPr>
        <w:spacing w:line="276" w:lineRule="auto"/>
        <w:rPr>
          <w:rFonts w:asciiTheme="minorHAnsi" w:hAnsiTheme="minorHAnsi" w:cstheme="minorHAnsi"/>
          <w:sz w:val="20"/>
          <w:szCs w:val="20"/>
        </w:rPr>
      </w:pPr>
    </w:p>
    <w:p w14:paraId="0EAD1EF3" w14:textId="77777777" w:rsidR="00D70EC1" w:rsidRPr="008D4672" w:rsidRDefault="00D70EC1" w:rsidP="00D70EC1">
      <w:pPr>
        <w:spacing w:line="276" w:lineRule="auto"/>
        <w:rPr>
          <w:rFonts w:asciiTheme="minorHAnsi" w:hAnsiTheme="minorHAnsi" w:cstheme="minorHAnsi"/>
          <w:sz w:val="20"/>
          <w:szCs w:val="20"/>
        </w:rPr>
      </w:pPr>
      <w:r w:rsidRPr="008D4672">
        <w:rPr>
          <w:rFonts w:asciiTheme="minorHAnsi" w:hAnsiTheme="minorHAnsi" w:cstheme="minorHAnsi"/>
          <w:sz w:val="20"/>
          <w:szCs w:val="20"/>
        </w:rPr>
        <w:t>a</w:t>
      </w:r>
    </w:p>
    <w:p w14:paraId="2289100B" w14:textId="77777777" w:rsidR="00D70EC1" w:rsidRPr="008D4672" w:rsidRDefault="00D70EC1" w:rsidP="00D70EC1">
      <w:pPr>
        <w:spacing w:line="276" w:lineRule="auto"/>
        <w:rPr>
          <w:rFonts w:asciiTheme="minorHAnsi" w:hAnsiTheme="minorHAnsi" w:cstheme="minorHAnsi"/>
          <w:sz w:val="20"/>
          <w:szCs w:val="20"/>
        </w:rPr>
      </w:pPr>
    </w:p>
    <w:p w14:paraId="7F394B13" w14:textId="187C9BA0" w:rsidR="00D70EC1" w:rsidRPr="00552C48" w:rsidRDefault="00A047F6" w:rsidP="00EA1F3B">
      <w:pPr>
        <w:spacing w:after="60" w:line="276" w:lineRule="auto"/>
        <w:rPr>
          <w:rFonts w:asciiTheme="minorHAnsi" w:eastAsia="Calibri" w:hAnsiTheme="minorHAnsi" w:cstheme="minorHAnsi"/>
          <w:sz w:val="21"/>
          <w:szCs w:val="21"/>
        </w:rPr>
      </w:pPr>
      <w:bookmarkStart w:id="0" w:name="_Hlk192842868"/>
      <w:r w:rsidRPr="00552C48">
        <w:rPr>
          <w:rFonts w:asciiTheme="minorHAnsi" w:eastAsia="Calibri" w:hAnsiTheme="minorHAnsi" w:cstheme="minorHAnsi"/>
          <w:b/>
          <w:sz w:val="21"/>
          <w:szCs w:val="21"/>
        </w:rPr>
        <w:t>APOSS Liberec, příspěvková organizace</w:t>
      </w:r>
    </w:p>
    <w:p w14:paraId="54020EA0" w14:textId="28BD1E72" w:rsidR="00D70EC1" w:rsidRPr="008D4672" w:rsidRDefault="00D70EC1" w:rsidP="00D70EC1">
      <w:pPr>
        <w:spacing w:after="60" w:line="276" w:lineRule="auto"/>
        <w:rPr>
          <w:rFonts w:asciiTheme="minorHAnsi" w:eastAsia="Calibri" w:hAnsiTheme="minorHAnsi" w:cstheme="minorHAnsi"/>
          <w:sz w:val="20"/>
          <w:szCs w:val="20"/>
        </w:rPr>
      </w:pPr>
      <w:r w:rsidRPr="008D4672">
        <w:rPr>
          <w:rFonts w:asciiTheme="minorHAnsi" w:eastAsia="Calibri" w:hAnsiTheme="minorHAnsi" w:cstheme="minorHAnsi"/>
          <w:sz w:val="20"/>
          <w:szCs w:val="20"/>
        </w:rPr>
        <w:t xml:space="preserve">se sídlem: </w:t>
      </w:r>
      <w:r w:rsidRPr="008D4672">
        <w:rPr>
          <w:rFonts w:asciiTheme="minorHAnsi" w:eastAsia="Calibri" w:hAnsiTheme="minorHAnsi" w:cstheme="minorHAnsi"/>
          <w:sz w:val="20"/>
          <w:szCs w:val="20"/>
        </w:rPr>
        <w:tab/>
      </w:r>
      <w:r w:rsidRPr="008D4672">
        <w:rPr>
          <w:rFonts w:asciiTheme="minorHAnsi" w:eastAsia="Calibri" w:hAnsiTheme="minorHAnsi" w:cstheme="minorHAnsi"/>
          <w:sz w:val="20"/>
          <w:szCs w:val="20"/>
        </w:rPr>
        <w:tab/>
      </w:r>
      <w:r w:rsidRPr="008D4672">
        <w:rPr>
          <w:rFonts w:asciiTheme="minorHAnsi" w:eastAsia="Calibri" w:hAnsiTheme="minorHAnsi" w:cstheme="minorHAnsi"/>
          <w:sz w:val="20"/>
          <w:szCs w:val="20"/>
        </w:rPr>
        <w:tab/>
      </w:r>
      <w:r w:rsidR="00A047F6" w:rsidRPr="008D4672">
        <w:rPr>
          <w:rFonts w:asciiTheme="minorHAnsi" w:eastAsia="Calibri" w:hAnsiTheme="minorHAnsi" w:cstheme="minorHAnsi"/>
          <w:sz w:val="20"/>
          <w:szCs w:val="20"/>
        </w:rPr>
        <w:t>Zeyerova 832/24</w:t>
      </w:r>
      <w:r w:rsidR="00241347" w:rsidRPr="008D4672">
        <w:rPr>
          <w:rFonts w:asciiTheme="minorHAnsi" w:eastAsia="Calibri" w:hAnsiTheme="minorHAnsi" w:cstheme="minorHAnsi"/>
          <w:sz w:val="20"/>
          <w:szCs w:val="20"/>
        </w:rPr>
        <w:t xml:space="preserve">, Liberec, 460 01 </w:t>
      </w:r>
    </w:p>
    <w:p w14:paraId="1F5C6A94" w14:textId="6DCB5D4A" w:rsidR="000E47AA" w:rsidRPr="008D4672" w:rsidRDefault="000E47AA" w:rsidP="000E47AA">
      <w:pPr>
        <w:spacing w:after="60" w:line="276" w:lineRule="auto"/>
        <w:ind w:left="2835"/>
        <w:rPr>
          <w:rFonts w:asciiTheme="minorHAnsi" w:hAnsiTheme="minorHAnsi" w:cstheme="minorHAnsi"/>
          <w:sz w:val="20"/>
          <w:szCs w:val="20"/>
        </w:rPr>
      </w:pPr>
      <w:r w:rsidRPr="008D4672">
        <w:rPr>
          <w:rFonts w:asciiTheme="minorHAnsi" w:hAnsiTheme="minorHAnsi" w:cstheme="minorHAnsi"/>
          <w:sz w:val="20"/>
          <w:szCs w:val="20"/>
        </w:rPr>
        <w:t>zapsaná v obch. rejstříku vedeném Krajským soudem v Ústí nad Labem, oddíl Pr, vložka 657</w:t>
      </w:r>
    </w:p>
    <w:p w14:paraId="02342F8B" w14:textId="77777777" w:rsidR="000E47AA" w:rsidRPr="008D4672" w:rsidRDefault="000E47AA" w:rsidP="000E47AA">
      <w:pPr>
        <w:spacing w:after="60" w:line="276" w:lineRule="auto"/>
        <w:rPr>
          <w:rFonts w:asciiTheme="minorHAnsi" w:hAnsiTheme="minorHAnsi" w:cstheme="minorHAnsi"/>
          <w:sz w:val="20"/>
          <w:szCs w:val="20"/>
        </w:rPr>
      </w:pPr>
      <w:r w:rsidRPr="008D4672">
        <w:rPr>
          <w:rFonts w:asciiTheme="minorHAnsi" w:hAnsiTheme="minorHAnsi" w:cstheme="minorHAnsi"/>
          <w:sz w:val="20"/>
          <w:szCs w:val="20"/>
        </w:rPr>
        <w:t xml:space="preserve">zastoupený: </w:t>
      </w:r>
      <w:r w:rsidRPr="008D4672">
        <w:rPr>
          <w:rFonts w:asciiTheme="minorHAnsi" w:hAnsiTheme="minorHAnsi" w:cstheme="minorHAnsi"/>
          <w:sz w:val="20"/>
          <w:szCs w:val="20"/>
        </w:rPr>
        <w:tab/>
      </w:r>
      <w:r w:rsidRPr="008D4672">
        <w:rPr>
          <w:rFonts w:asciiTheme="minorHAnsi" w:hAnsiTheme="minorHAnsi" w:cstheme="minorHAnsi"/>
          <w:sz w:val="20"/>
          <w:szCs w:val="20"/>
        </w:rPr>
        <w:tab/>
      </w:r>
      <w:r w:rsidRPr="008D4672">
        <w:rPr>
          <w:rFonts w:asciiTheme="minorHAnsi" w:hAnsiTheme="minorHAnsi" w:cstheme="minorHAnsi"/>
          <w:sz w:val="20"/>
          <w:szCs w:val="20"/>
        </w:rPr>
        <w:tab/>
        <w:t>Bc. Helenou Vopařilovou, Dis., ředitelkou</w:t>
      </w:r>
    </w:p>
    <w:p w14:paraId="5CA365B5" w14:textId="02FF49D5" w:rsidR="00D70EC1" w:rsidRPr="008D4672" w:rsidRDefault="00D70EC1" w:rsidP="00D70EC1">
      <w:pPr>
        <w:spacing w:after="60" w:line="276" w:lineRule="auto"/>
        <w:rPr>
          <w:rFonts w:asciiTheme="minorHAnsi" w:eastAsia="Calibri" w:hAnsiTheme="minorHAnsi" w:cstheme="minorHAnsi"/>
          <w:sz w:val="20"/>
          <w:szCs w:val="20"/>
        </w:rPr>
      </w:pPr>
      <w:r w:rsidRPr="008D4672">
        <w:rPr>
          <w:rFonts w:asciiTheme="minorHAnsi" w:eastAsia="Calibri" w:hAnsiTheme="minorHAnsi" w:cstheme="minorHAnsi"/>
          <w:sz w:val="20"/>
          <w:szCs w:val="20"/>
        </w:rPr>
        <w:t>IČO:</w:t>
      </w:r>
      <w:r w:rsidRPr="008D4672">
        <w:rPr>
          <w:rFonts w:asciiTheme="minorHAnsi" w:eastAsia="Calibri" w:hAnsiTheme="minorHAnsi" w:cstheme="minorHAnsi"/>
          <w:sz w:val="20"/>
          <w:szCs w:val="20"/>
        </w:rPr>
        <w:tab/>
      </w:r>
      <w:r w:rsidRPr="008D4672">
        <w:rPr>
          <w:rFonts w:asciiTheme="minorHAnsi" w:eastAsia="Calibri" w:hAnsiTheme="minorHAnsi" w:cstheme="minorHAnsi"/>
          <w:sz w:val="20"/>
          <w:szCs w:val="20"/>
        </w:rPr>
        <w:tab/>
      </w:r>
      <w:r w:rsidRPr="008D4672">
        <w:rPr>
          <w:rFonts w:asciiTheme="minorHAnsi" w:eastAsia="Calibri" w:hAnsiTheme="minorHAnsi" w:cstheme="minorHAnsi"/>
          <w:sz w:val="20"/>
          <w:szCs w:val="20"/>
        </w:rPr>
        <w:tab/>
      </w:r>
      <w:r w:rsidRPr="008D4672">
        <w:rPr>
          <w:rFonts w:asciiTheme="minorHAnsi" w:eastAsia="Calibri" w:hAnsiTheme="minorHAnsi" w:cstheme="minorHAnsi"/>
          <w:sz w:val="20"/>
          <w:szCs w:val="20"/>
        </w:rPr>
        <w:tab/>
      </w:r>
      <w:r w:rsidR="00A047F6" w:rsidRPr="008D4672">
        <w:rPr>
          <w:rFonts w:asciiTheme="minorHAnsi" w:hAnsiTheme="minorHAnsi" w:cstheme="minorHAnsi"/>
          <w:sz w:val="20"/>
          <w:szCs w:val="20"/>
        </w:rPr>
        <w:t>71220071</w:t>
      </w:r>
      <w:r w:rsidRPr="008D4672">
        <w:rPr>
          <w:rFonts w:asciiTheme="minorHAnsi" w:eastAsia="Calibri" w:hAnsiTheme="minorHAnsi" w:cstheme="minorHAnsi"/>
          <w:sz w:val="20"/>
          <w:szCs w:val="20"/>
        </w:rPr>
        <w:tab/>
      </w:r>
    </w:p>
    <w:p w14:paraId="0381C978" w14:textId="71358636" w:rsidR="00D70EC1" w:rsidRPr="008D4672" w:rsidRDefault="00D70EC1" w:rsidP="00D70EC1">
      <w:pPr>
        <w:spacing w:after="60" w:line="276" w:lineRule="auto"/>
        <w:rPr>
          <w:rFonts w:asciiTheme="minorHAnsi" w:eastAsia="Calibri" w:hAnsiTheme="minorHAnsi" w:cstheme="minorHAnsi"/>
          <w:sz w:val="20"/>
          <w:szCs w:val="20"/>
        </w:rPr>
      </w:pPr>
      <w:r w:rsidRPr="008D4672">
        <w:rPr>
          <w:rFonts w:asciiTheme="minorHAnsi" w:eastAsia="Calibri" w:hAnsiTheme="minorHAnsi" w:cstheme="minorHAnsi"/>
          <w:sz w:val="20"/>
          <w:szCs w:val="20"/>
        </w:rPr>
        <w:t xml:space="preserve">DIČ: </w:t>
      </w:r>
      <w:r w:rsidRPr="008D4672">
        <w:rPr>
          <w:rFonts w:asciiTheme="minorHAnsi" w:eastAsia="Calibri" w:hAnsiTheme="minorHAnsi" w:cstheme="minorHAnsi"/>
          <w:sz w:val="20"/>
          <w:szCs w:val="20"/>
        </w:rPr>
        <w:tab/>
      </w:r>
      <w:r w:rsidRPr="008D4672">
        <w:rPr>
          <w:rFonts w:asciiTheme="minorHAnsi" w:eastAsia="Calibri" w:hAnsiTheme="minorHAnsi" w:cstheme="minorHAnsi"/>
          <w:sz w:val="20"/>
          <w:szCs w:val="20"/>
        </w:rPr>
        <w:tab/>
      </w:r>
      <w:r w:rsidRPr="008D4672">
        <w:rPr>
          <w:rFonts w:asciiTheme="minorHAnsi" w:eastAsia="Calibri" w:hAnsiTheme="minorHAnsi" w:cstheme="minorHAnsi"/>
          <w:sz w:val="20"/>
          <w:szCs w:val="20"/>
        </w:rPr>
        <w:tab/>
      </w:r>
      <w:r w:rsidRPr="008D4672">
        <w:rPr>
          <w:rFonts w:asciiTheme="minorHAnsi" w:eastAsia="Calibri" w:hAnsiTheme="minorHAnsi" w:cstheme="minorHAnsi"/>
          <w:sz w:val="20"/>
          <w:szCs w:val="20"/>
        </w:rPr>
        <w:tab/>
      </w:r>
      <w:r w:rsidR="00A047F6" w:rsidRPr="008D4672">
        <w:rPr>
          <w:rFonts w:asciiTheme="minorHAnsi" w:eastAsia="Calibri" w:hAnsiTheme="minorHAnsi" w:cstheme="minorHAnsi"/>
          <w:sz w:val="20"/>
          <w:szCs w:val="20"/>
        </w:rPr>
        <w:t>Ne</w:t>
      </w:r>
    </w:p>
    <w:p w14:paraId="251AA59C" w14:textId="61385C3E" w:rsidR="00D70EC1" w:rsidRPr="008D4672" w:rsidRDefault="00D70EC1" w:rsidP="00D70EC1">
      <w:pPr>
        <w:spacing w:after="60" w:line="276" w:lineRule="auto"/>
        <w:rPr>
          <w:rFonts w:asciiTheme="minorHAnsi" w:eastAsia="Calibri" w:hAnsiTheme="minorHAnsi" w:cstheme="minorHAnsi"/>
          <w:sz w:val="20"/>
          <w:szCs w:val="20"/>
        </w:rPr>
      </w:pPr>
      <w:r w:rsidRPr="008D4672">
        <w:rPr>
          <w:rFonts w:asciiTheme="minorHAnsi" w:eastAsia="Calibri" w:hAnsiTheme="minorHAnsi" w:cstheme="minorHAnsi"/>
          <w:sz w:val="20"/>
          <w:szCs w:val="20"/>
        </w:rPr>
        <w:t xml:space="preserve">bankovní spojení: </w:t>
      </w:r>
      <w:r w:rsidRPr="008D4672">
        <w:rPr>
          <w:rFonts w:asciiTheme="minorHAnsi" w:eastAsia="Calibri" w:hAnsiTheme="minorHAnsi" w:cstheme="minorHAnsi"/>
          <w:sz w:val="20"/>
          <w:szCs w:val="20"/>
        </w:rPr>
        <w:tab/>
      </w:r>
      <w:r w:rsidRPr="008D4672">
        <w:rPr>
          <w:rFonts w:asciiTheme="minorHAnsi" w:eastAsia="Calibri" w:hAnsiTheme="minorHAnsi" w:cstheme="minorHAnsi"/>
          <w:sz w:val="20"/>
          <w:szCs w:val="20"/>
        </w:rPr>
        <w:tab/>
      </w:r>
      <w:r w:rsidR="00A047F6" w:rsidRPr="008D4672">
        <w:rPr>
          <w:rFonts w:asciiTheme="minorHAnsi" w:eastAsia="Calibri" w:hAnsiTheme="minorHAnsi" w:cstheme="minorHAnsi"/>
          <w:sz w:val="20"/>
          <w:szCs w:val="20"/>
        </w:rPr>
        <w:t>78-6239350237/0100</w:t>
      </w:r>
    </w:p>
    <w:p w14:paraId="0A50212D" w14:textId="27B21A97" w:rsidR="00D70EC1" w:rsidRPr="007B75AC" w:rsidRDefault="007B75AC" w:rsidP="00D70EC1">
      <w:pPr>
        <w:spacing w:after="60" w:line="276" w:lineRule="auto"/>
        <w:rPr>
          <w:rFonts w:asciiTheme="minorHAnsi" w:eastAsia="Calibri" w:hAnsiTheme="minorHAnsi" w:cstheme="minorHAnsi"/>
          <w:sz w:val="20"/>
          <w:szCs w:val="20"/>
        </w:rPr>
      </w:pPr>
      <w:r w:rsidRPr="007B75AC">
        <w:rPr>
          <w:rFonts w:asciiTheme="minorHAnsi" w:eastAsia="Calibri" w:hAnsiTheme="minorHAnsi" w:cstheme="minorHAnsi"/>
          <w:sz w:val="20"/>
          <w:szCs w:val="20"/>
        </w:rPr>
        <w:t xml:space="preserve">zmocněnec odběratele: </w:t>
      </w:r>
      <w:r w:rsidR="006465B3" w:rsidRPr="007B75AC">
        <w:rPr>
          <w:rFonts w:asciiTheme="minorHAnsi" w:eastAsia="Calibri" w:hAnsiTheme="minorHAnsi" w:cstheme="minorHAnsi"/>
          <w:sz w:val="20"/>
          <w:szCs w:val="20"/>
        </w:rPr>
        <w:tab/>
      </w:r>
      <w:r w:rsidRPr="007B75AC">
        <w:rPr>
          <w:rFonts w:asciiTheme="minorHAnsi" w:eastAsia="Calibri" w:hAnsiTheme="minorHAnsi" w:cstheme="minorHAnsi"/>
          <w:sz w:val="20"/>
          <w:szCs w:val="20"/>
        </w:rPr>
        <w:t>Bc. Helena Vopařilová, DiS.</w:t>
      </w:r>
    </w:p>
    <w:p w14:paraId="3F15641C" w14:textId="0464926A" w:rsidR="00D70EC1" w:rsidRPr="008D4672" w:rsidRDefault="00D70EC1" w:rsidP="00D70EC1">
      <w:pPr>
        <w:spacing w:after="60" w:line="276" w:lineRule="auto"/>
        <w:rPr>
          <w:rFonts w:asciiTheme="minorHAnsi" w:eastAsia="Calibri" w:hAnsiTheme="minorHAnsi" w:cstheme="minorHAnsi"/>
          <w:sz w:val="20"/>
          <w:szCs w:val="20"/>
        </w:rPr>
      </w:pPr>
      <w:r w:rsidRPr="007B75AC">
        <w:rPr>
          <w:rFonts w:asciiTheme="minorHAnsi" w:eastAsia="Calibri" w:hAnsiTheme="minorHAnsi" w:cstheme="minorHAnsi"/>
          <w:sz w:val="20"/>
          <w:szCs w:val="20"/>
        </w:rPr>
        <w:t>telefon:</w:t>
      </w:r>
      <w:r w:rsidR="00A125F9" w:rsidRPr="007B75AC">
        <w:rPr>
          <w:rFonts w:asciiTheme="minorHAnsi" w:eastAsia="Calibri" w:hAnsiTheme="minorHAnsi" w:cstheme="minorHAnsi"/>
          <w:sz w:val="20"/>
          <w:szCs w:val="20"/>
        </w:rPr>
        <w:t xml:space="preserve"> </w:t>
      </w:r>
      <w:r w:rsidR="00A047F6" w:rsidRPr="007B75AC">
        <w:rPr>
          <w:rFonts w:asciiTheme="minorHAnsi" w:eastAsia="Calibri" w:hAnsiTheme="minorHAnsi" w:cstheme="minorHAnsi"/>
          <w:sz w:val="20"/>
          <w:szCs w:val="20"/>
        </w:rPr>
        <w:t> </w:t>
      </w:r>
      <w:r w:rsidR="007B75AC">
        <w:rPr>
          <w:rFonts w:asciiTheme="minorHAnsi" w:eastAsia="Calibri" w:hAnsiTheme="minorHAnsi" w:cstheme="minorHAnsi"/>
          <w:sz w:val="20"/>
          <w:szCs w:val="20"/>
        </w:rPr>
        <w:t xml:space="preserve">+420 606 769 079 </w:t>
      </w:r>
      <w:r w:rsidR="005B5735" w:rsidRPr="008D4672">
        <w:rPr>
          <w:rFonts w:asciiTheme="minorHAnsi" w:eastAsia="Calibri" w:hAnsiTheme="minorHAnsi" w:cstheme="minorHAnsi"/>
          <w:sz w:val="20"/>
          <w:szCs w:val="20"/>
        </w:rPr>
        <w:t xml:space="preserve">, </w:t>
      </w:r>
      <w:r w:rsidR="00A125F9" w:rsidRPr="008D4672">
        <w:rPr>
          <w:rFonts w:asciiTheme="minorHAnsi" w:eastAsia="Calibri" w:hAnsiTheme="minorHAnsi" w:cstheme="minorHAnsi"/>
          <w:sz w:val="20"/>
          <w:szCs w:val="20"/>
        </w:rPr>
        <w:t>e</w:t>
      </w:r>
      <w:r w:rsidR="00EA1F3B" w:rsidRPr="008D4672">
        <w:rPr>
          <w:rFonts w:asciiTheme="minorHAnsi" w:eastAsia="Calibri" w:hAnsiTheme="minorHAnsi" w:cstheme="minorHAnsi"/>
          <w:sz w:val="20"/>
          <w:szCs w:val="20"/>
        </w:rPr>
        <w:t>-</w:t>
      </w:r>
      <w:r w:rsidR="007B75AC">
        <w:rPr>
          <w:rFonts w:asciiTheme="minorHAnsi" w:eastAsia="Calibri" w:hAnsiTheme="minorHAnsi" w:cstheme="minorHAnsi"/>
          <w:sz w:val="20"/>
          <w:szCs w:val="20"/>
        </w:rPr>
        <w:t>mail: aposs@aposs.cz</w:t>
      </w:r>
    </w:p>
    <w:bookmarkEnd w:id="0"/>
    <w:p w14:paraId="32AE58D2" w14:textId="77777777" w:rsidR="00D70EC1" w:rsidRPr="008D4672" w:rsidRDefault="00D70EC1" w:rsidP="00D70EC1">
      <w:pPr>
        <w:spacing w:line="276" w:lineRule="auto"/>
        <w:rPr>
          <w:rFonts w:asciiTheme="minorHAnsi" w:hAnsiTheme="minorHAnsi" w:cstheme="minorHAnsi"/>
          <w:b/>
          <w:sz w:val="20"/>
          <w:szCs w:val="20"/>
        </w:rPr>
      </w:pPr>
    </w:p>
    <w:p w14:paraId="6592312D" w14:textId="77777777" w:rsidR="00D70EC1" w:rsidRPr="008D4672" w:rsidRDefault="00D70EC1" w:rsidP="00D70EC1">
      <w:pPr>
        <w:spacing w:line="276" w:lineRule="auto"/>
        <w:rPr>
          <w:rFonts w:asciiTheme="minorHAnsi" w:hAnsiTheme="minorHAnsi" w:cstheme="minorHAnsi"/>
          <w:b/>
          <w:sz w:val="20"/>
          <w:szCs w:val="20"/>
        </w:rPr>
      </w:pPr>
      <w:r w:rsidRPr="008D4672">
        <w:rPr>
          <w:rFonts w:asciiTheme="minorHAnsi" w:hAnsiTheme="minorHAnsi" w:cstheme="minorHAnsi"/>
          <w:sz w:val="20"/>
          <w:szCs w:val="20"/>
        </w:rPr>
        <w:t>(dále jen</w:t>
      </w:r>
      <w:r w:rsidRPr="008D4672">
        <w:rPr>
          <w:rFonts w:asciiTheme="minorHAnsi" w:hAnsiTheme="minorHAnsi" w:cstheme="minorHAnsi"/>
          <w:b/>
          <w:sz w:val="20"/>
          <w:szCs w:val="20"/>
        </w:rPr>
        <w:t xml:space="preserve"> „Budoucí odběratel“</w:t>
      </w:r>
      <w:r w:rsidRPr="008D4672">
        <w:rPr>
          <w:rFonts w:asciiTheme="minorHAnsi" w:hAnsiTheme="minorHAnsi" w:cstheme="minorHAnsi"/>
          <w:sz w:val="20"/>
          <w:szCs w:val="20"/>
        </w:rPr>
        <w:t>)</w:t>
      </w:r>
    </w:p>
    <w:p w14:paraId="347570BA" w14:textId="77777777" w:rsidR="00D70EC1" w:rsidRPr="008D4672" w:rsidRDefault="00D70EC1" w:rsidP="00D70EC1">
      <w:pPr>
        <w:spacing w:line="276" w:lineRule="auto"/>
        <w:rPr>
          <w:rFonts w:asciiTheme="minorHAnsi" w:hAnsiTheme="minorHAnsi" w:cstheme="minorHAnsi"/>
          <w:sz w:val="20"/>
          <w:szCs w:val="20"/>
        </w:rPr>
      </w:pPr>
      <w:r w:rsidRPr="008D4672">
        <w:rPr>
          <w:rFonts w:asciiTheme="minorHAnsi" w:hAnsiTheme="minorHAnsi" w:cstheme="minorHAnsi"/>
          <w:sz w:val="20"/>
          <w:szCs w:val="20"/>
        </w:rPr>
        <w:t>(TLI a Budoucí odběratel, dále jen „</w:t>
      </w:r>
      <w:r w:rsidRPr="008D4672">
        <w:rPr>
          <w:rFonts w:asciiTheme="minorHAnsi" w:hAnsiTheme="minorHAnsi" w:cstheme="minorHAnsi"/>
          <w:b/>
          <w:sz w:val="20"/>
          <w:szCs w:val="20"/>
        </w:rPr>
        <w:t>Smluvní strany</w:t>
      </w:r>
      <w:r w:rsidRPr="008D4672">
        <w:rPr>
          <w:rFonts w:asciiTheme="minorHAnsi" w:hAnsiTheme="minorHAnsi" w:cstheme="minorHAnsi"/>
          <w:sz w:val="20"/>
          <w:szCs w:val="20"/>
        </w:rPr>
        <w:t>“)</w:t>
      </w:r>
      <w:bookmarkStart w:id="1" w:name="_GoBack"/>
      <w:bookmarkEnd w:id="1"/>
    </w:p>
    <w:p w14:paraId="18726032" w14:textId="77777777" w:rsidR="00D70EC1" w:rsidRPr="00D70EC1" w:rsidRDefault="00D70EC1" w:rsidP="00D70EC1">
      <w:pPr>
        <w:spacing w:line="276" w:lineRule="auto"/>
        <w:rPr>
          <w:rFonts w:asciiTheme="minorHAnsi" w:hAnsiTheme="minorHAnsi" w:cstheme="minorHAnsi"/>
          <w:b/>
          <w:sz w:val="21"/>
          <w:szCs w:val="21"/>
        </w:rPr>
      </w:pPr>
    </w:p>
    <w:p w14:paraId="76E122B8" w14:textId="77777777" w:rsidR="00D70EC1" w:rsidRPr="00D70EC1" w:rsidRDefault="00D70EC1" w:rsidP="00D70EC1">
      <w:pPr>
        <w:rPr>
          <w:rFonts w:asciiTheme="minorHAnsi" w:hAnsiTheme="minorHAnsi" w:cstheme="minorHAnsi"/>
          <w:b/>
          <w:sz w:val="21"/>
          <w:szCs w:val="21"/>
        </w:rPr>
      </w:pPr>
    </w:p>
    <w:p w14:paraId="385C4D20" w14:textId="77777777" w:rsidR="00D70EC1" w:rsidRDefault="00D70EC1" w:rsidP="00D70EC1">
      <w:pPr>
        <w:jc w:val="center"/>
        <w:rPr>
          <w:rFonts w:asciiTheme="minorHAnsi" w:hAnsiTheme="minorHAnsi" w:cstheme="minorHAnsi"/>
          <w:b/>
          <w:sz w:val="21"/>
          <w:szCs w:val="21"/>
        </w:rPr>
      </w:pPr>
    </w:p>
    <w:p w14:paraId="654BE470" w14:textId="77777777" w:rsidR="00D70EC1" w:rsidRDefault="00D70EC1" w:rsidP="00D70EC1">
      <w:pPr>
        <w:jc w:val="center"/>
        <w:rPr>
          <w:rFonts w:asciiTheme="minorHAnsi" w:hAnsiTheme="minorHAnsi" w:cstheme="minorHAnsi"/>
          <w:b/>
          <w:sz w:val="21"/>
          <w:szCs w:val="21"/>
        </w:rPr>
      </w:pPr>
    </w:p>
    <w:p w14:paraId="35FDF4C4" w14:textId="02BA8EAB" w:rsidR="00D70EC1" w:rsidRPr="00D70EC1" w:rsidRDefault="00D70EC1" w:rsidP="00D70EC1">
      <w:pPr>
        <w:jc w:val="center"/>
        <w:rPr>
          <w:rFonts w:asciiTheme="minorHAnsi" w:hAnsiTheme="minorHAnsi" w:cstheme="minorHAnsi"/>
          <w:b/>
          <w:sz w:val="20"/>
          <w:szCs w:val="20"/>
        </w:rPr>
      </w:pPr>
      <w:r w:rsidRPr="00D70EC1">
        <w:rPr>
          <w:rFonts w:asciiTheme="minorHAnsi" w:hAnsiTheme="minorHAnsi" w:cstheme="minorHAnsi"/>
          <w:b/>
          <w:sz w:val="20"/>
          <w:szCs w:val="20"/>
        </w:rPr>
        <w:lastRenderedPageBreak/>
        <w:t>I. Preambule</w:t>
      </w:r>
    </w:p>
    <w:p w14:paraId="6AA3C9DC" w14:textId="77777777" w:rsidR="00D70EC1" w:rsidRPr="00D70EC1" w:rsidRDefault="00D70EC1" w:rsidP="00D70EC1">
      <w:pPr>
        <w:ind w:left="567" w:hanging="567"/>
        <w:rPr>
          <w:rFonts w:asciiTheme="minorHAnsi" w:hAnsiTheme="minorHAnsi" w:cstheme="minorHAnsi"/>
          <w:sz w:val="20"/>
          <w:szCs w:val="20"/>
        </w:rPr>
      </w:pPr>
      <w:r w:rsidRPr="00D70EC1">
        <w:rPr>
          <w:rFonts w:asciiTheme="minorHAnsi" w:hAnsiTheme="minorHAnsi" w:cstheme="minorHAnsi"/>
          <w:sz w:val="20"/>
          <w:szCs w:val="20"/>
        </w:rPr>
        <w:t xml:space="preserve">1/ </w:t>
      </w:r>
      <w:r w:rsidRPr="00D70EC1">
        <w:rPr>
          <w:rFonts w:asciiTheme="minorHAnsi" w:hAnsiTheme="minorHAnsi" w:cstheme="minorHAnsi"/>
          <w:sz w:val="20"/>
          <w:szCs w:val="20"/>
        </w:rPr>
        <w:tab/>
        <w:t xml:space="preserve">TLI je licencovaným výrobcem a dodavatelem tepelné energie na území města Liberec. </w:t>
      </w:r>
    </w:p>
    <w:p w14:paraId="2883E1C7" w14:textId="12EFB440" w:rsidR="00D70EC1" w:rsidRPr="00FE2341" w:rsidRDefault="00D70EC1" w:rsidP="00D70EC1">
      <w:pPr>
        <w:ind w:left="567" w:hanging="567"/>
        <w:rPr>
          <w:rFonts w:asciiTheme="minorHAnsi" w:hAnsiTheme="minorHAnsi" w:cstheme="minorHAnsi"/>
          <w:sz w:val="20"/>
          <w:szCs w:val="20"/>
          <w:highlight w:val="yellow"/>
        </w:rPr>
      </w:pPr>
      <w:r w:rsidRPr="00D70EC1">
        <w:rPr>
          <w:rFonts w:asciiTheme="minorHAnsi" w:hAnsiTheme="minorHAnsi" w:cstheme="minorHAnsi"/>
          <w:sz w:val="20"/>
          <w:szCs w:val="20"/>
        </w:rPr>
        <w:t>2</w:t>
      </w:r>
      <w:r w:rsidRPr="004A5785">
        <w:rPr>
          <w:rFonts w:asciiTheme="minorHAnsi" w:hAnsiTheme="minorHAnsi" w:cstheme="minorHAnsi"/>
          <w:sz w:val="20"/>
          <w:szCs w:val="20"/>
        </w:rPr>
        <w:t>/</w:t>
      </w:r>
      <w:r w:rsidRPr="004A5785">
        <w:rPr>
          <w:rFonts w:asciiTheme="minorHAnsi" w:hAnsiTheme="minorHAnsi" w:cstheme="minorHAnsi"/>
          <w:sz w:val="20"/>
          <w:szCs w:val="20"/>
        </w:rPr>
        <w:tab/>
        <w:t>Budoucí odběratel je vlastníkem nemovitých věcí zapsaných v katastru nemovitostí vedeném Katastrálním úřadem pro Liberecký kraj, Katastrální pracoviště Liberec na listu vlastnictví 1</w:t>
      </w:r>
      <w:r w:rsidR="004A5785" w:rsidRPr="004A5785">
        <w:rPr>
          <w:rFonts w:asciiTheme="minorHAnsi" w:hAnsiTheme="minorHAnsi" w:cstheme="minorHAnsi"/>
          <w:sz w:val="20"/>
          <w:szCs w:val="20"/>
        </w:rPr>
        <w:t xml:space="preserve">0328 </w:t>
      </w:r>
      <w:r w:rsidRPr="004A5785">
        <w:rPr>
          <w:rFonts w:asciiTheme="minorHAnsi" w:hAnsiTheme="minorHAnsi" w:cstheme="minorHAnsi"/>
          <w:sz w:val="20"/>
          <w:szCs w:val="20"/>
        </w:rPr>
        <w:t>pro katastrální území (dále jen „k.ú.“) Liberec, a to: parc. č</w:t>
      </w:r>
      <w:r w:rsidR="004A5785" w:rsidRPr="004A5785">
        <w:rPr>
          <w:rFonts w:asciiTheme="minorHAnsi" w:hAnsiTheme="minorHAnsi" w:cstheme="minorHAnsi"/>
          <w:sz w:val="20"/>
          <w:szCs w:val="20"/>
        </w:rPr>
        <w:t>. 2051,</w:t>
      </w:r>
      <w:r w:rsidRPr="004A5785">
        <w:rPr>
          <w:rFonts w:asciiTheme="minorHAnsi" w:hAnsiTheme="minorHAnsi" w:cstheme="minorHAnsi"/>
          <w:sz w:val="20"/>
          <w:szCs w:val="20"/>
        </w:rPr>
        <w:t xml:space="preserve"> jehož součástí je stavba Liberec I-Staré Město, č.p.</w:t>
      </w:r>
      <w:r w:rsidR="004A5785" w:rsidRPr="004A5785">
        <w:rPr>
          <w:rFonts w:asciiTheme="minorHAnsi" w:hAnsiTheme="minorHAnsi" w:cstheme="minorHAnsi"/>
          <w:sz w:val="20"/>
          <w:szCs w:val="20"/>
        </w:rPr>
        <w:t xml:space="preserve"> 832</w:t>
      </w:r>
      <w:r w:rsidRPr="004A5785">
        <w:rPr>
          <w:rFonts w:asciiTheme="minorHAnsi" w:hAnsiTheme="minorHAnsi" w:cstheme="minorHAnsi"/>
          <w:sz w:val="20"/>
          <w:szCs w:val="20"/>
        </w:rPr>
        <w:t xml:space="preserve"> (dále jen „</w:t>
      </w:r>
      <w:r w:rsidRPr="004A5785">
        <w:rPr>
          <w:rFonts w:asciiTheme="minorHAnsi" w:hAnsiTheme="minorHAnsi" w:cstheme="minorHAnsi"/>
          <w:b/>
          <w:bCs/>
          <w:sz w:val="20"/>
          <w:szCs w:val="20"/>
        </w:rPr>
        <w:t>stavba</w:t>
      </w:r>
      <w:r w:rsidRPr="004A5785">
        <w:rPr>
          <w:rFonts w:asciiTheme="minorHAnsi" w:hAnsiTheme="minorHAnsi" w:cstheme="minorHAnsi"/>
          <w:sz w:val="20"/>
          <w:szCs w:val="20"/>
        </w:rPr>
        <w:t xml:space="preserve">“), tj. stavba </w:t>
      </w:r>
      <w:r w:rsidR="005B5735" w:rsidRPr="004A5785">
        <w:rPr>
          <w:rFonts w:asciiTheme="minorHAnsi" w:hAnsiTheme="minorHAnsi" w:cstheme="minorHAnsi"/>
          <w:sz w:val="20"/>
          <w:szCs w:val="20"/>
        </w:rPr>
        <w:t>objektu APOSS</w:t>
      </w:r>
      <w:r w:rsidRPr="004A5785">
        <w:rPr>
          <w:rFonts w:asciiTheme="minorHAnsi" w:hAnsiTheme="minorHAnsi" w:cstheme="minorHAnsi"/>
          <w:sz w:val="20"/>
          <w:szCs w:val="20"/>
        </w:rPr>
        <w:t xml:space="preserve"> v Liberci na adrese </w:t>
      </w:r>
      <w:r w:rsidR="005B5735" w:rsidRPr="004A5785">
        <w:rPr>
          <w:rFonts w:asciiTheme="minorHAnsi" w:hAnsiTheme="minorHAnsi" w:cstheme="minorHAnsi"/>
          <w:sz w:val="20"/>
          <w:szCs w:val="20"/>
        </w:rPr>
        <w:t xml:space="preserve">Zeyerova </w:t>
      </w:r>
      <w:r w:rsidR="004A5785" w:rsidRPr="004A5785">
        <w:rPr>
          <w:rFonts w:asciiTheme="minorHAnsi" w:hAnsiTheme="minorHAnsi" w:cstheme="minorHAnsi"/>
          <w:sz w:val="20"/>
          <w:szCs w:val="20"/>
        </w:rPr>
        <w:t>832/24</w:t>
      </w:r>
      <w:r w:rsidRPr="004A5785">
        <w:rPr>
          <w:rFonts w:asciiTheme="minorHAnsi" w:hAnsiTheme="minorHAnsi" w:cstheme="minorHAnsi"/>
          <w:sz w:val="20"/>
          <w:szCs w:val="20"/>
        </w:rPr>
        <w:t>, 460 01 Liberec 1 (dále jen „</w:t>
      </w:r>
      <w:r w:rsidRPr="004A5785">
        <w:rPr>
          <w:rFonts w:asciiTheme="minorHAnsi" w:hAnsiTheme="minorHAnsi" w:cstheme="minorHAnsi"/>
          <w:b/>
          <w:bCs/>
          <w:sz w:val="20"/>
          <w:szCs w:val="20"/>
        </w:rPr>
        <w:t>Nemovitosti</w:t>
      </w:r>
      <w:r w:rsidRPr="004A5785">
        <w:rPr>
          <w:rFonts w:asciiTheme="minorHAnsi" w:hAnsiTheme="minorHAnsi" w:cstheme="minorHAnsi"/>
          <w:sz w:val="20"/>
          <w:szCs w:val="20"/>
        </w:rPr>
        <w:t>“); Stavba má být zásobována tepelnou energií ze soustavy zásobování tepelnou energií ve vlastnictví TLI v rámci sekundárního připojení (dále jen „</w:t>
      </w:r>
      <w:r w:rsidRPr="004A5785">
        <w:rPr>
          <w:rFonts w:asciiTheme="minorHAnsi" w:hAnsiTheme="minorHAnsi" w:cstheme="minorHAnsi"/>
          <w:b/>
          <w:bCs/>
          <w:sz w:val="20"/>
          <w:szCs w:val="20"/>
        </w:rPr>
        <w:t>Budoucí odběrné místo</w:t>
      </w:r>
      <w:r w:rsidRPr="004A5785">
        <w:rPr>
          <w:rFonts w:asciiTheme="minorHAnsi" w:hAnsiTheme="minorHAnsi" w:cstheme="minorHAnsi"/>
          <w:sz w:val="20"/>
          <w:szCs w:val="20"/>
        </w:rPr>
        <w:t>“ nebo také „</w:t>
      </w:r>
      <w:r w:rsidR="005B5735" w:rsidRPr="004A5785">
        <w:rPr>
          <w:rFonts w:asciiTheme="minorHAnsi" w:hAnsiTheme="minorHAnsi" w:cstheme="minorHAnsi"/>
          <w:b/>
          <w:bCs/>
          <w:sz w:val="20"/>
          <w:szCs w:val="20"/>
        </w:rPr>
        <w:t>APOSS</w:t>
      </w:r>
      <w:r w:rsidRPr="004A5785">
        <w:rPr>
          <w:rFonts w:asciiTheme="minorHAnsi" w:hAnsiTheme="minorHAnsi" w:cstheme="minorHAnsi"/>
          <w:sz w:val="20"/>
          <w:szCs w:val="20"/>
        </w:rPr>
        <w:t>“). Budoucí odběratel má zájem na zásobování Budoucího odběrného místa tepelnou energií od TLI.</w:t>
      </w:r>
    </w:p>
    <w:p w14:paraId="66795580" w14:textId="77777777" w:rsidR="00D70EC1" w:rsidRPr="00C135FF" w:rsidRDefault="00D70EC1" w:rsidP="00D70EC1">
      <w:pPr>
        <w:ind w:left="567" w:hanging="567"/>
        <w:rPr>
          <w:rFonts w:asciiTheme="minorHAnsi" w:hAnsiTheme="minorHAnsi" w:cstheme="minorHAnsi"/>
          <w:sz w:val="20"/>
          <w:szCs w:val="20"/>
        </w:rPr>
      </w:pPr>
      <w:r w:rsidRPr="00C135FF">
        <w:rPr>
          <w:rFonts w:asciiTheme="minorHAnsi" w:hAnsiTheme="minorHAnsi" w:cstheme="minorHAnsi"/>
          <w:sz w:val="20"/>
          <w:szCs w:val="20"/>
        </w:rPr>
        <w:t xml:space="preserve">3/ </w:t>
      </w:r>
      <w:r w:rsidRPr="00C135FF">
        <w:rPr>
          <w:rFonts w:asciiTheme="minorHAnsi" w:hAnsiTheme="minorHAnsi" w:cstheme="minorHAnsi"/>
          <w:sz w:val="20"/>
          <w:szCs w:val="20"/>
        </w:rPr>
        <w:tab/>
        <w:t>TLI je vlastníkem a provozovatelem soustavy zásobování tepelnou energií v Liberci (dále jen „</w:t>
      </w:r>
      <w:r w:rsidRPr="00C135FF">
        <w:rPr>
          <w:rFonts w:asciiTheme="minorHAnsi" w:hAnsiTheme="minorHAnsi" w:cstheme="minorHAnsi"/>
          <w:b/>
          <w:bCs/>
          <w:sz w:val="20"/>
          <w:szCs w:val="20"/>
        </w:rPr>
        <w:t>SZTE</w:t>
      </w:r>
      <w:r w:rsidRPr="00C135FF">
        <w:rPr>
          <w:rFonts w:asciiTheme="minorHAnsi" w:hAnsiTheme="minorHAnsi" w:cstheme="minorHAnsi"/>
          <w:sz w:val="20"/>
          <w:szCs w:val="20"/>
        </w:rPr>
        <w:t>“), ke které se chce Budoucí odběratel připojit za účelem zásobování Budoucího odběrného místa tepelnou energií.</w:t>
      </w:r>
    </w:p>
    <w:p w14:paraId="57D1F0E8" w14:textId="28FE477E" w:rsidR="00D70EC1" w:rsidRPr="00C135FF" w:rsidRDefault="00D70EC1" w:rsidP="00D70EC1">
      <w:pPr>
        <w:ind w:left="567" w:hanging="567"/>
        <w:rPr>
          <w:rFonts w:asciiTheme="minorHAnsi" w:hAnsiTheme="minorHAnsi" w:cstheme="minorHAnsi"/>
          <w:sz w:val="20"/>
          <w:szCs w:val="20"/>
        </w:rPr>
      </w:pPr>
      <w:r w:rsidRPr="00C135FF">
        <w:rPr>
          <w:rFonts w:asciiTheme="minorHAnsi" w:hAnsiTheme="minorHAnsi" w:cstheme="minorHAnsi"/>
          <w:sz w:val="20"/>
          <w:szCs w:val="20"/>
        </w:rPr>
        <w:t>4/</w:t>
      </w:r>
      <w:r w:rsidRPr="00C135FF">
        <w:rPr>
          <w:rFonts w:asciiTheme="minorHAnsi" w:hAnsiTheme="minorHAnsi" w:cstheme="minorHAnsi"/>
          <w:sz w:val="20"/>
          <w:szCs w:val="20"/>
        </w:rPr>
        <w:tab/>
        <w:t>TLI se po dohodě s Budoucím odběratelem, a za splnění povinností Budoucího odběratele níže uvedených, zavazuje k vybudování teplovodní přípojky</w:t>
      </w:r>
      <w:r w:rsidR="008C6246">
        <w:rPr>
          <w:rFonts w:asciiTheme="minorHAnsi" w:hAnsiTheme="minorHAnsi" w:cstheme="minorHAnsi"/>
          <w:sz w:val="20"/>
          <w:szCs w:val="20"/>
        </w:rPr>
        <w:t xml:space="preserve"> 2x DN 32</w:t>
      </w:r>
      <w:r w:rsidRPr="00C135FF">
        <w:rPr>
          <w:rFonts w:asciiTheme="minorHAnsi" w:hAnsiTheme="minorHAnsi" w:cstheme="minorHAnsi"/>
          <w:sz w:val="20"/>
          <w:szCs w:val="20"/>
        </w:rPr>
        <w:t xml:space="preserve"> (dále jen „</w:t>
      </w:r>
      <w:r w:rsidRPr="00C135FF">
        <w:rPr>
          <w:rFonts w:asciiTheme="minorHAnsi" w:hAnsiTheme="minorHAnsi" w:cstheme="minorHAnsi"/>
          <w:b/>
          <w:bCs/>
          <w:sz w:val="20"/>
          <w:szCs w:val="20"/>
        </w:rPr>
        <w:t>TP</w:t>
      </w:r>
      <w:r w:rsidRPr="00C135FF">
        <w:rPr>
          <w:rFonts w:asciiTheme="minorHAnsi" w:hAnsiTheme="minorHAnsi" w:cstheme="minorHAnsi"/>
          <w:sz w:val="20"/>
          <w:szCs w:val="20"/>
        </w:rPr>
        <w:t xml:space="preserve">“) v celkové délce cca </w:t>
      </w:r>
      <w:r w:rsidR="005B5735" w:rsidRPr="00C135FF">
        <w:rPr>
          <w:rFonts w:asciiTheme="minorHAnsi" w:hAnsiTheme="minorHAnsi" w:cstheme="minorHAnsi"/>
          <w:sz w:val="20"/>
          <w:szCs w:val="20"/>
        </w:rPr>
        <w:t>35</w:t>
      </w:r>
      <w:r w:rsidRPr="00C135FF">
        <w:rPr>
          <w:rFonts w:asciiTheme="minorHAnsi" w:hAnsiTheme="minorHAnsi" w:cstheme="minorHAnsi"/>
          <w:sz w:val="20"/>
          <w:szCs w:val="20"/>
        </w:rPr>
        <w:t xml:space="preserve"> m a k vybudování jedné objektové předávací stanice (dále jen „</w:t>
      </w:r>
      <w:r w:rsidRPr="00C135FF">
        <w:rPr>
          <w:rFonts w:asciiTheme="minorHAnsi" w:hAnsiTheme="minorHAnsi" w:cstheme="minorHAnsi"/>
          <w:b/>
          <w:bCs/>
          <w:sz w:val="20"/>
          <w:szCs w:val="20"/>
        </w:rPr>
        <w:t>OPS</w:t>
      </w:r>
      <w:r w:rsidRPr="00C135FF">
        <w:rPr>
          <w:rFonts w:asciiTheme="minorHAnsi" w:hAnsiTheme="minorHAnsi" w:cstheme="minorHAnsi"/>
          <w:sz w:val="20"/>
          <w:szCs w:val="20"/>
        </w:rPr>
        <w:t xml:space="preserve">“), to vše za účelem zajištění plnohodnotného a výlučného zdroje tepelné energie pro zásobování teplem pro Budoucí odběrné místo s využitím pro teplou vodu a vytápění, o celkovém příkonu </w:t>
      </w:r>
      <w:r w:rsidR="00C135FF">
        <w:rPr>
          <w:rFonts w:asciiTheme="minorHAnsi" w:hAnsiTheme="minorHAnsi" w:cstheme="minorHAnsi"/>
          <w:sz w:val="20"/>
          <w:szCs w:val="20"/>
        </w:rPr>
        <w:t xml:space="preserve">cca </w:t>
      </w:r>
      <w:r w:rsidR="005B5735" w:rsidRPr="00C135FF">
        <w:rPr>
          <w:rFonts w:asciiTheme="minorHAnsi" w:hAnsiTheme="minorHAnsi" w:cstheme="minorHAnsi"/>
          <w:sz w:val="20"/>
          <w:szCs w:val="20"/>
        </w:rPr>
        <w:t>85</w:t>
      </w:r>
      <w:r w:rsidRPr="00C135FF">
        <w:rPr>
          <w:rFonts w:asciiTheme="minorHAnsi" w:hAnsiTheme="minorHAnsi" w:cstheme="minorHAnsi"/>
          <w:sz w:val="20"/>
          <w:szCs w:val="20"/>
        </w:rPr>
        <w:t xml:space="preserve"> kW, za následujících podmínek (dále jen „</w:t>
      </w:r>
      <w:r w:rsidRPr="00C135FF">
        <w:rPr>
          <w:rFonts w:asciiTheme="minorHAnsi" w:hAnsiTheme="minorHAnsi" w:cstheme="minorHAnsi"/>
          <w:b/>
          <w:bCs/>
          <w:sz w:val="20"/>
          <w:szCs w:val="20"/>
        </w:rPr>
        <w:t>Investice</w:t>
      </w:r>
      <w:r w:rsidRPr="00C135FF">
        <w:rPr>
          <w:rFonts w:asciiTheme="minorHAnsi" w:hAnsiTheme="minorHAnsi" w:cstheme="minorHAnsi"/>
          <w:sz w:val="20"/>
          <w:szCs w:val="20"/>
        </w:rPr>
        <w:t xml:space="preserve">“): </w:t>
      </w:r>
    </w:p>
    <w:p w14:paraId="2C13D338" w14:textId="776DAE16" w:rsidR="00D70EC1" w:rsidRPr="00DA1D6D" w:rsidRDefault="00D70EC1" w:rsidP="00D70EC1">
      <w:pPr>
        <w:ind w:left="567" w:hanging="567"/>
        <w:rPr>
          <w:rFonts w:asciiTheme="minorHAnsi" w:hAnsiTheme="minorHAnsi" w:cstheme="minorHAnsi"/>
          <w:sz w:val="20"/>
          <w:szCs w:val="20"/>
        </w:rPr>
      </w:pPr>
      <w:r w:rsidRPr="00DA1D6D">
        <w:rPr>
          <w:rFonts w:asciiTheme="minorHAnsi" w:hAnsiTheme="minorHAnsi" w:cstheme="minorHAnsi"/>
          <w:sz w:val="20"/>
          <w:szCs w:val="20"/>
        </w:rPr>
        <w:tab/>
        <w:t>TP bude vybudována od napojovacího bodu na pozemku parc. č</w:t>
      </w:r>
      <w:r w:rsidR="00DA1D6D" w:rsidRPr="00DA1D6D">
        <w:rPr>
          <w:rFonts w:asciiTheme="minorHAnsi" w:hAnsiTheme="minorHAnsi" w:cstheme="minorHAnsi"/>
          <w:sz w:val="20"/>
          <w:szCs w:val="20"/>
        </w:rPr>
        <w:t>. 5406</w:t>
      </w:r>
      <w:r w:rsidRPr="00DA1D6D">
        <w:rPr>
          <w:rFonts w:asciiTheme="minorHAnsi" w:hAnsiTheme="minorHAnsi" w:cstheme="minorHAnsi"/>
          <w:sz w:val="20"/>
          <w:szCs w:val="20"/>
        </w:rPr>
        <w:t xml:space="preserve"> v k.ú. Liberec, pozemek ve vlastnictví </w:t>
      </w:r>
      <w:r w:rsidR="00EA1F3B">
        <w:rPr>
          <w:rFonts w:asciiTheme="minorHAnsi" w:hAnsiTheme="minorHAnsi" w:cstheme="minorHAnsi"/>
          <w:sz w:val="20"/>
          <w:szCs w:val="20"/>
        </w:rPr>
        <w:t>Statutárního města Liberec</w:t>
      </w:r>
      <w:r w:rsidRPr="00DA1D6D">
        <w:rPr>
          <w:rFonts w:asciiTheme="minorHAnsi" w:hAnsiTheme="minorHAnsi" w:cstheme="minorHAnsi"/>
          <w:sz w:val="20"/>
          <w:szCs w:val="20"/>
        </w:rPr>
        <w:t>, dále povede po pozem</w:t>
      </w:r>
      <w:r w:rsidR="0001143D">
        <w:rPr>
          <w:rFonts w:asciiTheme="minorHAnsi" w:hAnsiTheme="minorHAnsi" w:cstheme="minorHAnsi"/>
          <w:sz w:val="20"/>
          <w:szCs w:val="20"/>
        </w:rPr>
        <w:t>ku</w:t>
      </w:r>
      <w:r w:rsidRPr="00DA1D6D">
        <w:rPr>
          <w:rFonts w:asciiTheme="minorHAnsi" w:hAnsiTheme="minorHAnsi" w:cstheme="minorHAnsi"/>
          <w:sz w:val="20"/>
          <w:szCs w:val="20"/>
        </w:rPr>
        <w:t xml:space="preserve"> parc. </w:t>
      </w:r>
      <w:r w:rsidR="00DA1D6D" w:rsidRPr="00DA1D6D">
        <w:rPr>
          <w:rFonts w:asciiTheme="minorHAnsi" w:hAnsiTheme="minorHAnsi" w:cstheme="minorHAnsi"/>
          <w:sz w:val="20"/>
          <w:szCs w:val="20"/>
        </w:rPr>
        <w:t>č. 5976/1</w:t>
      </w:r>
      <w:r w:rsidRPr="00DA1D6D">
        <w:rPr>
          <w:rFonts w:asciiTheme="minorHAnsi" w:hAnsiTheme="minorHAnsi" w:cstheme="minorHAnsi"/>
          <w:sz w:val="20"/>
          <w:szCs w:val="20"/>
        </w:rPr>
        <w:t xml:space="preserve"> v k.ú. Liberec, kter</w:t>
      </w:r>
      <w:r w:rsidR="0001143D">
        <w:rPr>
          <w:rFonts w:asciiTheme="minorHAnsi" w:hAnsiTheme="minorHAnsi" w:cstheme="minorHAnsi"/>
          <w:sz w:val="20"/>
          <w:szCs w:val="20"/>
        </w:rPr>
        <w:t>ý</w:t>
      </w:r>
      <w:r w:rsidRPr="00DA1D6D">
        <w:rPr>
          <w:rFonts w:asciiTheme="minorHAnsi" w:hAnsiTheme="minorHAnsi" w:cstheme="minorHAnsi"/>
          <w:sz w:val="20"/>
          <w:szCs w:val="20"/>
        </w:rPr>
        <w:t xml:space="preserve"> j</w:t>
      </w:r>
      <w:r w:rsidR="0001143D">
        <w:rPr>
          <w:rFonts w:asciiTheme="minorHAnsi" w:hAnsiTheme="minorHAnsi" w:cstheme="minorHAnsi"/>
          <w:sz w:val="20"/>
          <w:szCs w:val="20"/>
        </w:rPr>
        <w:t>e</w:t>
      </w:r>
      <w:r w:rsidRPr="00DA1D6D">
        <w:rPr>
          <w:rFonts w:asciiTheme="minorHAnsi" w:hAnsiTheme="minorHAnsi" w:cstheme="minorHAnsi"/>
          <w:sz w:val="20"/>
          <w:szCs w:val="20"/>
        </w:rPr>
        <w:t xml:space="preserve"> rovněž ve vlastnictví </w:t>
      </w:r>
      <w:r w:rsidR="00EA1F3B">
        <w:rPr>
          <w:rFonts w:asciiTheme="minorHAnsi" w:hAnsiTheme="minorHAnsi" w:cstheme="minorHAnsi"/>
          <w:sz w:val="20"/>
          <w:szCs w:val="20"/>
        </w:rPr>
        <w:t>Statutárního města Liberec</w:t>
      </w:r>
      <w:r w:rsidR="00DA1D6D" w:rsidRPr="00DA1D6D">
        <w:rPr>
          <w:rFonts w:asciiTheme="minorHAnsi" w:hAnsiTheme="minorHAnsi" w:cstheme="minorHAnsi"/>
          <w:sz w:val="20"/>
          <w:szCs w:val="20"/>
        </w:rPr>
        <w:t xml:space="preserve">, až na pozemek </w:t>
      </w:r>
      <w:r w:rsidR="0001143D">
        <w:rPr>
          <w:rFonts w:asciiTheme="minorHAnsi" w:hAnsiTheme="minorHAnsi" w:cstheme="minorHAnsi"/>
          <w:sz w:val="20"/>
          <w:szCs w:val="20"/>
        </w:rPr>
        <w:t xml:space="preserve">parc. </w:t>
      </w:r>
      <w:r w:rsidR="00DA1D6D" w:rsidRPr="00DA1D6D">
        <w:rPr>
          <w:rFonts w:asciiTheme="minorHAnsi" w:hAnsiTheme="minorHAnsi" w:cstheme="minorHAnsi"/>
          <w:sz w:val="20"/>
          <w:szCs w:val="20"/>
        </w:rPr>
        <w:t xml:space="preserve">č. 2051, který je ve vlastnictví </w:t>
      </w:r>
      <w:r w:rsidRPr="00DA1D6D">
        <w:rPr>
          <w:rFonts w:asciiTheme="minorHAnsi" w:hAnsiTheme="minorHAnsi" w:cstheme="minorHAnsi"/>
          <w:sz w:val="20"/>
          <w:szCs w:val="20"/>
        </w:rPr>
        <w:t>Budoucího odběratele</w:t>
      </w:r>
      <w:r w:rsidR="00DA1D6D" w:rsidRPr="00DA1D6D">
        <w:rPr>
          <w:rFonts w:asciiTheme="minorHAnsi" w:hAnsiTheme="minorHAnsi" w:cstheme="minorHAnsi"/>
          <w:sz w:val="20"/>
          <w:szCs w:val="20"/>
        </w:rPr>
        <w:t xml:space="preserve"> a dále do objektu </w:t>
      </w:r>
      <w:r w:rsidR="006E4B1F">
        <w:rPr>
          <w:rFonts w:asciiTheme="minorHAnsi" w:hAnsiTheme="minorHAnsi" w:cstheme="minorHAnsi"/>
          <w:sz w:val="20"/>
          <w:szCs w:val="20"/>
        </w:rPr>
        <w:t xml:space="preserve">Budoucího odběratele </w:t>
      </w:r>
      <w:r w:rsidRPr="00DA1D6D">
        <w:rPr>
          <w:rFonts w:asciiTheme="minorHAnsi" w:hAnsiTheme="minorHAnsi" w:cstheme="minorHAnsi"/>
          <w:sz w:val="20"/>
          <w:szCs w:val="20"/>
        </w:rPr>
        <w:t>(Budoucí odběrné míst</w:t>
      </w:r>
      <w:r w:rsidR="00DA1D6D" w:rsidRPr="00DA1D6D">
        <w:rPr>
          <w:rFonts w:asciiTheme="minorHAnsi" w:hAnsiTheme="minorHAnsi" w:cstheme="minorHAnsi"/>
          <w:sz w:val="20"/>
          <w:szCs w:val="20"/>
        </w:rPr>
        <w:t>o</w:t>
      </w:r>
      <w:r w:rsidRPr="00DA1D6D">
        <w:rPr>
          <w:rFonts w:asciiTheme="minorHAnsi" w:hAnsiTheme="minorHAnsi" w:cstheme="minorHAnsi"/>
          <w:sz w:val="20"/>
          <w:szCs w:val="20"/>
        </w:rPr>
        <w:t xml:space="preserve">), kde bude instalována OPS. Podrobnosti budou uvedeny v projektu. </w:t>
      </w:r>
    </w:p>
    <w:p w14:paraId="0F9AC425" w14:textId="77777777" w:rsidR="00D70EC1" w:rsidRPr="006E4B1F" w:rsidRDefault="00D70EC1" w:rsidP="00D70EC1">
      <w:pPr>
        <w:ind w:left="567"/>
        <w:rPr>
          <w:rFonts w:asciiTheme="minorHAnsi" w:hAnsiTheme="minorHAnsi" w:cstheme="minorHAnsi"/>
          <w:sz w:val="20"/>
          <w:szCs w:val="20"/>
        </w:rPr>
      </w:pPr>
      <w:r w:rsidRPr="006E4B1F">
        <w:rPr>
          <w:rFonts w:asciiTheme="minorHAnsi" w:hAnsiTheme="minorHAnsi" w:cstheme="minorHAnsi"/>
          <w:sz w:val="20"/>
          <w:szCs w:val="20"/>
        </w:rPr>
        <w:t xml:space="preserve">Smluvní strany sjednávají následující parametry Investice podle požadavku Budoucího odběratele:  </w:t>
      </w:r>
    </w:p>
    <w:p w14:paraId="3F6366C7" w14:textId="13CDF7AE" w:rsidR="00D70EC1" w:rsidRPr="006E4B1F" w:rsidRDefault="00D70EC1" w:rsidP="00D70EC1">
      <w:pPr>
        <w:pStyle w:val="Odstavecseseznamem"/>
        <w:numPr>
          <w:ilvl w:val="0"/>
          <w:numId w:val="19"/>
        </w:numPr>
        <w:spacing w:before="0" w:after="200" w:line="276" w:lineRule="auto"/>
        <w:rPr>
          <w:rFonts w:asciiTheme="minorHAnsi" w:hAnsiTheme="minorHAnsi" w:cstheme="minorHAnsi"/>
          <w:sz w:val="20"/>
          <w:szCs w:val="20"/>
        </w:rPr>
      </w:pPr>
      <w:r w:rsidRPr="006E4B1F">
        <w:rPr>
          <w:rFonts w:asciiTheme="minorHAnsi" w:hAnsiTheme="minorHAnsi" w:cstheme="minorHAnsi"/>
          <w:sz w:val="20"/>
          <w:szCs w:val="20"/>
        </w:rPr>
        <w:t xml:space="preserve">Předpokládaný příkon pro stavbu (návrh velikosti OPS): </w:t>
      </w:r>
      <w:r w:rsidR="005B5735" w:rsidRPr="006E4B1F">
        <w:rPr>
          <w:rFonts w:asciiTheme="minorHAnsi" w:hAnsiTheme="minorHAnsi" w:cstheme="minorHAnsi"/>
          <w:sz w:val="20"/>
          <w:szCs w:val="20"/>
        </w:rPr>
        <w:t>85</w:t>
      </w:r>
      <w:r w:rsidRPr="006E4B1F">
        <w:rPr>
          <w:rFonts w:asciiTheme="minorHAnsi" w:hAnsiTheme="minorHAnsi" w:cstheme="minorHAnsi"/>
          <w:sz w:val="20"/>
          <w:szCs w:val="20"/>
        </w:rPr>
        <w:t xml:space="preserve"> kW</w:t>
      </w:r>
      <w:r w:rsidR="0001143D">
        <w:rPr>
          <w:rFonts w:asciiTheme="minorHAnsi" w:hAnsiTheme="minorHAnsi" w:cstheme="minorHAnsi"/>
          <w:sz w:val="20"/>
          <w:szCs w:val="20"/>
        </w:rPr>
        <w:t>,</w:t>
      </w:r>
    </w:p>
    <w:p w14:paraId="636AC7FE" w14:textId="57795B4F" w:rsidR="00D70EC1" w:rsidRPr="006E4B1F" w:rsidRDefault="00D70EC1" w:rsidP="00D70EC1">
      <w:pPr>
        <w:pStyle w:val="Odstavecseseznamem"/>
        <w:numPr>
          <w:ilvl w:val="0"/>
          <w:numId w:val="19"/>
        </w:numPr>
        <w:spacing w:before="0" w:after="200" w:line="276" w:lineRule="auto"/>
        <w:rPr>
          <w:rFonts w:asciiTheme="minorHAnsi" w:hAnsiTheme="minorHAnsi" w:cstheme="minorHAnsi"/>
          <w:sz w:val="20"/>
          <w:szCs w:val="20"/>
        </w:rPr>
      </w:pPr>
      <w:r w:rsidRPr="006E4B1F">
        <w:rPr>
          <w:rFonts w:asciiTheme="minorHAnsi" w:hAnsiTheme="minorHAnsi" w:cstheme="minorHAnsi"/>
          <w:sz w:val="20"/>
          <w:szCs w:val="20"/>
        </w:rPr>
        <w:t xml:space="preserve">Požadovaný roční odběr tepla stavby: </w:t>
      </w:r>
      <w:r w:rsidR="004E0219" w:rsidRPr="006E4B1F">
        <w:rPr>
          <w:rFonts w:asciiTheme="minorHAnsi" w:hAnsiTheme="minorHAnsi" w:cstheme="minorHAnsi"/>
          <w:sz w:val="20"/>
          <w:szCs w:val="20"/>
        </w:rPr>
        <w:t>280</w:t>
      </w:r>
      <w:r w:rsidRPr="006E4B1F">
        <w:rPr>
          <w:rFonts w:asciiTheme="minorHAnsi" w:hAnsiTheme="minorHAnsi" w:cstheme="minorHAnsi"/>
          <w:sz w:val="20"/>
          <w:szCs w:val="20"/>
        </w:rPr>
        <w:t xml:space="preserve"> GJ</w:t>
      </w:r>
      <w:r w:rsidR="0001143D">
        <w:rPr>
          <w:rFonts w:asciiTheme="minorHAnsi" w:hAnsiTheme="minorHAnsi" w:cstheme="minorHAnsi"/>
          <w:sz w:val="20"/>
          <w:szCs w:val="20"/>
        </w:rPr>
        <w:t>,</w:t>
      </w:r>
    </w:p>
    <w:p w14:paraId="1287441A" w14:textId="3C681737" w:rsidR="00D70EC1" w:rsidRPr="006E4B1F" w:rsidRDefault="00D70EC1" w:rsidP="00D70EC1">
      <w:pPr>
        <w:pStyle w:val="Odstavecseseznamem"/>
        <w:numPr>
          <w:ilvl w:val="0"/>
          <w:numId w:val="19"/>
        </w:numPr>
        <w:spacing w:before="0" w:after="200" w:line="276" w:lineRule="auto"/>
        <w:rPr>
          <w:rFonts w:asciiTheme="minorHAnsi" w:hAnsiTheme="minorHAnsi" w:cstheme="minorHAnsi"/>
          <w:sz w:val="20"/>
          <w:szCs w:val="20"/>
        </w:rPr>
      </w:pPr>
      <w:r w:rsidRPr="006E4B1F">
        <w:rPr>
          <w:rFonts w:asciiTheme="minorHAnsi" w:hAnsiTheme="minorHAnsi" w:cstheme="minorHAnsi"/>
          <w:sz w:val="20"/>
          <w:szCs w:val="20"/>
        </w:rPr>
        <w:t xml:space="preserve">Dodávané médium: </w:t>
      </w:r>
      <w:r w:rsidR="00226750">
        <w:rPr>
          <w:rFonts w:asciiTheme="minorHAnsi" w:hAnsiTheme="minorHAnsi" w:cstheme="minorHAnsi"/>
          <w:sz w:val="20"/>
          <w:szCs w:val="20"/>
        </w:rPr>
        <w:t>voda</w:t>
      </w:r>
      <w:r w:rsidRPr="006E4B1F">
        <w:rPr>
          <w:rFonts w:asciiTheme="minorHAnsi" w:hAnsiTheme="minorHAnsi" w:cstheme="minorHAnsi"/>
          <w:sz w:val="20"/>
          <w:szCs w:val="20"/>
        </w:rPr>
        <w:t xml:space="preserve">, s projekčním tepelným spádem </w:t>
      </w:r>
      <w:r w:rsidR="00226750">
        <w:rPr>
          <w:rFonts w:asciiTheme="minorHAnsi" w:hAnsiTheme="minorHAnsi" w:cstheme="minorHAnsi"/>
          <w:sz w:val="20"/>
          <w:szCs w:val="20"/>
        </w:rPr>
        <w:t>80</w:t>
      </w:r>
      <w:r w:rsidR="006E4B1F" w:rsidRPr="006E4B1F">
        <w:rPr>
          <w:rFonts w:asciiTheme="minorHAnsi" w:hAnsiTheme="minorHAnsi" w:cstheme="minorHAnsi"/>
          <w:sz w:val="20"/>
          <w:szCs w:val="20"/>
        </w:rPr>
        <w:t>/</w:t>
      </w:r>
      <w:r w:rsidR="00226750">
        <w:rPr>
          <w:rFonts w:asciiTheme="minorHAnsi" w:hAnsiTheme="minorHAnsi" w:cstheme="minorHAnsi"/>
          <w:sz w:val="20"/>
          <w:szCs w:val="20"/>
        </w:rPr>
        <w:t>6</w:t>
      </w:r>
      <w:r w:rsidR="00226750" w:rsidRPr="006E4B1F">
        <w:rPr>
          <w:rFonts w:asciiTheme="minorHAnsi" w:hAnsiTheme="minorHAnsi" w:cstheme="minorHAnsi"/>
          <w:sz w:val="20"/>
          <w:szCs w:val="20"/>
        </w:rPr>
        <w:t xml:space="preserve">0 </w:t>
      </w:r>
      <w:r w:rsidRPr="006E4B1F">
        <w:rPr>
          <w:rFonts w:asciiTheme="minorHAnsi" w:hAnsiTheme="minorHAnsi" w:cstheme="minorHAnsi"/>
          <w:sz w:val="20"/>
          <w:szCs w:val="20"/>
        </w:rPr>
        <w:t>°C, teplota ze stanice regulována ekvitermně</w:t>
      </w:r>
      <w:r w:rsidR="0001143D">
        <w:rPr>
          <w:rFonts w:asciiTheme="minorHAnsi" w:hAnsiTheme="minorHAnsi" w:cstheme="minorHAnsi"/>
          <w:sz w:val="20"/>
          <w:szCs w:val="20"/>
        </w:rPr>
        <w:t>,</w:t>
      </w:r>
    </w:p>
    <w:p w14:paraId="6A4C5157" w14:textId="222ADBD9" w:rsidR="00D70EC1" w:rsidRPr="006E4B1F" w:rsidRDefault="00D70EC1" w:rsidP="00D70EC1">
      <w:pPr>
        <w:pStyle w:val="Odstavecseseznamem"/>
        <w:numPr>
          <w:ilvl w:val="0"/>
          <w:numId w:val="19"/>
        </w:numPr>
        <w:spacing w:before="0" w:after="200" w:line="276" w:lineRule="auto"/>
        <w:rPr>
          <w:rFonts w:asciiTheme="minorHAnsi" w:hAnsiTheme="minorHAnsi" w:cstheme="minorHAnsi"/>
          <w:sz w:val="20"/>
          <w:szCs w:val="20"/>
        </w:rPr>
      </w:pPr>
      <w:r w:rsidRPr="006E4B1F">
        <w:rPr>
          <w:rFonts w:asciiTheme="minorHAnsi" w:hAnsiTheme="minorHAnsi" w:cstheme="minorHAnsi"/>
          <w:sz w:val="20"/>
          <w:szCs w:val="20"/>
        </w:rPr>
        <w:t>Předávací místo – uzavírací armatury na výstupu z OPS voda/voda</w:t>
      </w:r>
      <w:r w:rsidR="0001143D">
        <w:rPr>
          <w:rFonts w:asciiTheme="minorHAnsi" w:hAnsiTheme="minorHAnsi" w:cstheme="minorHAnsi"/>
          <w:sz w:val="20"/>
          <w:szCs w:val="20"/>
        </w:rPr>
        <w:t>,</w:t>
      </w:r>
    </w:p>
    <w:p w14:paraId="0CD963C8" w14:textId="489633BB" w:rsidR="00D70EC1" w:rsidRPr="006E4B1F" w:rsidRDefault="00D70EC1" w:rsidP="00D70EC1">
      <w:pPr>
        <w:pStyle w:val="Odstavecseseznamem"/>
        <w:numPr>
          <w:ilvl w:val="0"/>
          <w:numId w:val="19"/>
        </w:numPr>
        <w:spacing w:before="0" w:after="200" w:line="276" w:lineRule="auto"/>
        <w:rPr>
          <w:rFonts w:asciiTheme="minorHAnsi" w:hAnsiTheme="minorHAnsi" w:cstheme="minorHAnsi"/>
          <w:sz w:val="20"/>
          <w:szCs w:val="20"/>
        </w:rPr>
      </w:pPr>
      <w:r w:rsidRPr="006E4B1F">
        <w:rPr>
          <w:rFonts w:asciiTheme="minorHAnsi" w:hAnsiTheme="minorHAnsi" w:cstheme="minorHAnsi"/>
          <w:sz w:val="20"/>
          <w:szCs w:val="20"/>
        </w:rPr>
        <w:t>Dodávka el. energie z vnitřních rozvodů objektu</w:t>
      </w:r>
      <w:r w:rsidR="0001143D">
        <w:rPr>
          <w:rFonts w:asciiTheme="minorHAnsi" w:hAnsiTheme="minorHAnsi" w:cstheme="minorHAnsi"/>
          <w:sz w:val="20"/>
          <w:szCs w:val="20"/>
        </w:rPr>
        <w:t xml:space="preserve"> APOSS,</w:t>
      </w:r>
    </w:p>
    <w:p w14:paraId="0AD595B9" w14:textId="190A865F" w:rsidR="00D70EC1" w:rsidRPr="006E4B1F" w:rsidRDefault="00D70EC1" w:rsidP="00D70EC1">
      <w:pPr>
        <w:pStyle w:val="Odstavecseseznamem"/>
        <w:numPr>
          <w:ilvl w:val="0"/>
          <w:numId w:val="19"/>
        </w:numPr>
        <w:spacing w:before="0" w:after="200" w:line="276" w:lineRule="auto"/>
        <w:rPr>
          <w:rFonts w:asciiTheme="minorHAnsi" w:hAnsiTheme="minorHAnsi" w:cstheme="minorHAnsi"/>
          <w:sz w:val="20"/>
          <w:szCs w:val="20"/>
        </w:rPr>
      </w:pPr>
      <w:r w:rsidRPr="006E4B1F">
        <w:rPr>
          <w:rFonts w:asciiTheme="minorHAnsi" w:hAnsiTheme="minorHAnsi" w:cstheme="minorHAnsi"/>
          <w:sz w:val="20"/>
          <w:szCs w:val="20"/>
        </w:rPr>
        <w:t>Dodávku studené pitné vody v potřebné kvalitě a množství pro výrobu TV zajišťuje Budoucí odběratel na svůj náklad</w:t>
      </w:r>
      <w:r w:rsidR="0001143D">
        <w:rPr>
          <w:rFonts w:asciiTheme="minorHAnsi" w:hAnsiTheme="minorHAnsi" w:cstheme="minorHAnsi"/>
          <w:sz w:val="20"/>
          <w:szCs w:val="20"/>
        </w:rPr>
        <w:t xml:space="preserve"> z vnitřních rozvodů objektu APOSS</w:t>
      </w:r>
      <w:r w:rsidR="006E4B1F" w:rsidRPr="006E4B1F">
        <w:rPr>
          <w:rFonts w:asciiTheme="minorHAnsi" w:hAnsiTheme="minorHAnsi" w:cstheme="minorHAnsi"/>
          <w:sz w:val="20"/>
          <w:szCs w:val="20"/>
        </w:rPr>
        <w:t>.</w:t>
      </w:r>
    </w:p>
    <w:p w14:paraId="3EDD982C" w14:textId="769EC386" w:rsidR="00D70EC1" w:rsidRDefault="00D70EC1" w:rsidP="00D70EC1">
      <w:pPr>
        <w:ind w:left="567"/>
        <w:rPr>
          <w:rFonts w:asciiTheme="minorHAnsi" w:hAnsiTheme="minorHAnsi" w:cstheme="minorHAnsi"/>
          <w:sz w:val="20"/>
          <w:szCs w:val="20"/>
        </w:rPr>
      </w:pPr>
      <w:r w:rsidRPr="00DC3067">
        <w:rPr>
          <w:rFonts w:asciiTheme="minorHAnsi" w:hAnsiTheme="minorHAnsi" w:cstheme="minorHAnsi"/>
          <w:sz w:val="20"/>
          <w:szCs w:val="20"/>
        </w:rPr>
        <w:t xml:space="preserve">Přesné parametry Investice včetně technického vybavení </w:t>
      </w:r>
      <w:r w:rsidR="0001143D">
        <w:rPr>
          <w:rFonts w:asciiTheme="minorHAnsi" w:hAnsiTheme="minorHAnsi" w:cstheme="minorHAnsi"/>
          <w:sz w:val="20"/>
          <w:szCs w:val="20"/>
        </w:rPr>
        <w:t>OPS</w:t>
      </w:r>
      <w:r w:rsidRPr="00DC3067">
        <w:rPr>
          <w:rFonts w:asciiTheme="minorHAnsi" w:hAnsiTheme="minorHAnsi" w:cstheme="minorHAnsi"/>
          <w:sz w:val="20"/>
          <w:szCs w:val="20"/>
        </w:rPr>
        <w:t xml:space="preserve"> budou upřesněny dle projektu OPS. Fakturační měřidla tepla budou umístěna v OPS. Stavební úpravy prostoru budoucí OPS, </w:t>
      </w:r>
      <w:r w:rsidR="00961338">
        <w:rPr>
          <w:rFonts w:asciiTheme="minorHAnsi" w:hAnsiTheme="minorHAnsi" w:cstheme="minorHAnsi"/>
          <w:sz w:val="20"/>
          <w:szCs w:val="20"/>
        </w:rPr>
        <w:t xml:space="preserve">prostupy zdmi uvnit objektu APOSS </w:t>
      </w:r>
      <w:r w:rsidRPr="00DC3067">
        <w:rPr>
          <w:rFonts w:asciiTheme="minorHAnsi" w:hAnsiTheme="minorHAnsi" w:cstheme="minorHAnsi"/>
          <w:sz w:val="20"/>
          <w:szCs w:val="20"/>
        </w:rPr>
        <w:t xml:space="preserve">vč. konečných úprav zdí a podlahy, přípojky elektro, přípojky topného okruhu a TV a studené vody nejsou předmětem Investice a tyto se zavazuje zajistit </w:t>
      </w:r>
      <w:r w:rsidR="00667977">
        <w:rPr>
          <w:rFonts w:asciiTheme="minorHAnsi" w:hAnsiTheme="minorHAnsi" w:cstheme="minorHAnsi"/>
          <w:sz w:val="20"/>
          <w:szCs w:val="20"/>
        </w:rPr>
        <w:t>Budoucí o</w:t>
      </w:r>
      <w:r w:rsidRPr="00DC3067">
        <w:rPr>
          <w:rFonts w:asciiTheme="minorHAnsi" w:hAnsiTheme="minorHAnsi" w:cstheme="minorHAnsi"/>
          <w:sz w:val="20"/>
          <w:szCs w:val="20"/>
        </w:rPr>
        <w:t>dběratel</w:t>
      </w:r>
      <w:r w:rsidR="00961338">
        <w:rPr>
          <w:rFonts w:asciiTheme="minorHAnsi" w:hAnsiTheme="minorHAnsi" w:cstheme="minorHAnsi"/>
          <w:sz w:val="20"/>
          <w:szCs w:val="20"/>
        </w:rPr>
        <w:t xml:space="preserve"> (dále jen „</w:t>
      </w:r>
      <w:r w:rsidR="00961338" w:rsidRPr="005B4FEB">
        <w:rPr>
          <w:rFonts w:asciiTheme="minorHAnsi" w:hAnsiTheme="minorHAnsi" w:cstheme="minorHAnsi"/>
          <w:b/>
          <w:bCs/>
          <w:sz w:val="20"/>
          <w:szCs w:val="20"/>
        </w:rPr>
        <w:t>Stavební připravenost</w:t>
      </w:r>
      <w:r w:rsidR="00961338">
        <w:rPr>
          <w:rFonts w:asciiTheme="minorHAnsi" w:hAnsiTheme="minorHAnsi" w:cstheme="minorHAnsi"/>
          <w:sz w:val="20"/>
          <w:szCs w:val="20"/>
        </w:rPr>
        <w:t>“)</w:t>
      </w:r>
      <w:r w:rsidRPr="00DC3067">
        <w:rPr>
          <w:rFonts w:asciiTheme="minorHAnsi" w:hAnsiTheme="minorHAnsi" w:cstheme="minorHAnsi"/>
          <w:sz w:val="20"/>
          <w:szCs w:val="20"/>
        </w:rPr>
        <w:t xml:space="preserve">. Předpokládané napojení </w:t>
      </w:r>
      <w:r w:rsidR="00DC3067" w:rsidRPr="00DC3067">
        <w:rPr>
          <w:rFonts w:asciiTheme="minorHAnsi" w:hAnsiTheme="minorHAnsi" w:cstheme="minorHAnsi"/>
          <w:sz w:val="20"/>
          <w:szCs w:val="20"/>
        </w:rPr>
        <w:t xml:space="preserve">je na budoucí nové rozvody </w:t>
      </w:r>
      <w:r w:rsidRPr="00DC3067">
        <w:rPr>
          <w:rFonts w:asciiTheme="minorHAnsi" w:hAnsiTheme="minorHAnsi" w:cstheme="minorHAnsi"/>
          <w:sz w:val="20"/>
          <w:szCs w:val="20"/>
        </w:rPr>
        <w:t xml:space="preserve">v technické místnosti v prvním </w:t>
      </w:r>
      <w:r w:rsidR="00DC3067" w:rsidRPr="00DC3067">
        <w:rPr>
          <w:rFonts w:asciiTheme="minorHAnsi" w:hAnsiTheme="minorHAnsi" w:cstheme="minorHAnsi"/>
          <w:sz w:val="20"/>
          <w:szCs w:val="20"/>
        </w:rPr>
        <w:t>PP</w:t>
      </w:r>
      <w:r w:rsidRPr="00DC3067">
        <w:rPr>
          <w:rFonts w:asciiTheme="minorHAnsi" w:hAnsiTheme="minorHAnsi" w:cstheme="minorHAnsi"/>
          <w:sz w:val="20"/>
          <w:szCs w:val="20"/>
        </w:rPr>
        <w:t>, jak na vstupní média (voda, el. energie), tak i výstupní potrubí ÚT a teplé vody</w:t>
      </w:r>
      <w:r w:rsidR="00FE2341" w:rsidRPr="00DC3067">
        <w:rPr>
          <w:rFonts w:asciiTheme="minorHAnsi" w:hAnsiTheme="minorHAnsi" w:cstheme="minorHAnsi"/>
          <w:sz w:val="20"/>
          <w:szCs w:val="20"/>
        </w:rPr>
        <w:t>.</w:t>
      </w:r>
    </w:p>
    <w:p w14:paraId="6B3A9127" w14:textId="77777777" w:rsidR="00EA1F3B" w:rsidRPr="00DC3067" w:rsidRDefault="00EA1F3B" w:rsidP="00D70EC1">
      <w:pPr>
        <w:ind w:left="567"/>
        <w:rPr>
          <w:rFonts w:asciiTheme="minorHAnsi" w:hAnsiTheme="minorHAnsi" w:cstheme="minorHAnsi"/>
          <w:sz w:val="20"/>
          <w:szCs w:val="20"/>
        </w:rPr>
      </w:pPr>
    </w:p>
    <w:p w14:paraId="5623B224" w14:textId="77777777" w:rsidR="00D70EC1" w:rsidRPr="000825DB" w:rsidRDefault="00D70EC1" w:rsidP="00D70EC1">
      <w:pPr>
        <w:ind w:left="567" w:hanging="567"/>
        <w:rPr>
          <w:rFonts w:asciiTheme="minorHAnsi" w:hAnsiTheme="minorHAnsi" w:cstheme="minorHAnsi"/>
          <w:sz w:val="20"/>
          <w:szCs w:val="20"/>
        </w:rPr>
      </w:pPr>
      <w:r w:rsidRPr="000825DB">
        <w:rPr>
          <w:rFonts w:asciiTheme="minorHAnsi" w:hAnsiTheme="minorHAnsi" w:cstheme="minorHAnsi"/>
          <w:sz w:val="20"/>
          <w:szCs w:val="20"/>
        </w:rPr>
        <w:lastRenderedPageBreak/>
        <w:t>5/</w:t>
      </w:r>
      <w:r w:rsidRPr="000825DB">
        <w:rPr>
          <w:rFonts w:asciiTheme="minorHAnsi" w:hAnsiTheme="minorHAnsi" w:cstheme="minorHAnsi"/>
          <w:sz w:val="20"/>
          <w:szCs w:val="20"/>
        </w:rPr>
        <w:tab/>
        <w:t>Splnění závazku TLI k vybudování Investice je podmíněno těmito skutečnostmi:</w:t>
      </w:r>
    </w:p>
    <w:p w14:paraId="3275E6F8" w14:textId="34CD5A9A" w:rsidR="00D70EC1" w:rsidRPr="000825DB" w:rsidRDefault="00D70EC1" w:rsidP="00D70EC1">
      <w:pPr>
        <w:pStyle w:val="Odstavecseseznamem"/>
        <w:numPr>
          <w:ilvl w:val="0"/>
          <w:numId w:val="20"/>
        </w:numPr>
        <w:spacing w:before="0" w:after="200" w:line="276" w:lineRule="auto"/>
        <w:rPr>
          <w:rFonts w:asciiTheme="minorHAnsi" w:hAnsiTheme="minorHAnsi" w:cstheme="minorHAnsi"/>
          <w:sz w:val="20"/>
          <w:szCs w:val="20"/>
        </w:rPr>
      </w:pPr>
      <w:r w:rsidRPr="000825DB">
        <w:rPr>
          <w:rFonts w:asciiTheme="minorHAnsi" w:hAnsiTheme="minorHAnsi" w:cstheme="minorHAnsi"/>
          <w:sz w:val="20"/>
          <w:szCs w:val="20"/>
        </w:rPr>
        <w:t xml:space="preserve">Udělení souhlasu </w:t>
      </w:r>
      <w:r w:rsidR="000825DB" w:rsidRPr="000825DB">
        <w:rPr>
          <w:rFonts w:asciiTheme="minorHAnsi" w:hAnsiTheme="minorHAnsi" w:cstheme="minorHAnsi"/>
          <w:sz w:val="20"/>
          <w:szCs w:val="20"/>
        </w:rPr>
        <w:t>Libereckého kraje</w:t>
      </w:r>
      <w:r w:rsidRPr="000825DB">
        <w:rPr>
          <w:rFonts w:asciiTheme="minorHAnsi" w:hAnsiTheme="minorHAnsi" w:cstheme="minorHAnsi"/>
          <w:sz w:val="20"/>
          <w:szCs w:val="20"/>
        </w:rPr>
        <w:t xml:space="preserve"> ke zřízení (umístění) a provozu teplovodní přípojky na Nemovitostech, odpovídajícího požadavkům stavebně-právních předpisů</w:t>
      </w:r>
      <w:r w:rsidR="00961338">
        <w:rPr>
          <w:rFonts w:asciiTheme="minorHAnsi" w:hAnsiTheme="minorHAnsi" w:cstheme="minorHAnsi"/>
          <w:sz w:val="20"/>
          <w:szCs w:val="20"/>
        </w:rPr>
        <w:t>, pro TLI</w:t>
      </w:r>
      <w:r w:rsidRPr="000825DB">
        <w:rPr>
          <w:rFonts w:asciiTheme="minorHAnsi" w:hAnsiTheme="minorHAnsi" w:cstheme="minorHAnsi"/>
          <w:sz w:val="20"/>
          <w:szCs w:val="20"/>
        </w:rPr>
        <w:t>;</w:t>
      </w:r>
    </w:p>
    <w:p w14:paraId="702A9467" w14:textId="43BFE690" w:rsidR="00D70EC1" w:rsidRPr="000825DB" w:rsidRDefault="00D70EC1" w:rsidP="00D70EC1">
      <w:pPr>
        <w:pStyle w:val="Odstavecseseznamem"/>
        <w:numPr>
          <w:ilvl w:val="0"/>
          <w:numId w:val="20"/>
        </w:numPr>
        <w:spacing w:before="0" w:after="200" w:line="276" w:lineRule="auto"/>
        <w:rPr>
          <w:rFonts w:asciiTheme="minorHAnsi" w:hAnsiTheme="minorHAnsi" w:cstheme="minorHAnsi"/>
          <w:sz w:val="20"/>
          <w:szCs w:val="20"/>
        </w:rPr>
      </w:pPr>
      <w:r w:rsidRPr="000825DB">
        <w:rPr>
          <w:rFonts w:asciiTheme="minorHAnsi" w:hAnsiTheme="minorHAnsi" w:cstheme="minorHAnsi"/>
          <w:sz w:val="20"/>
          <w:szCs w:val="20"/>
        </w:rPr>
        <w:t>Ze strany Budoucího odběratele určení místa pro prostup přípojky do Budoucího odběrného místa</w:t>
      </w:r>
      <w:r w:rsidR="00961338">
        <w:rPr>
          <w:rFonts w:asciiTheme="minorHAnsi" w:hAnsiTheme="minorHAnsi" w:cstheme="minorHAnsi"/>
          <w:sz w:val="20"/>
          <w:szCs w:val="20"/>
        </w:rPr>
        <w:t>,</w:t>
      </w:r>
      <w:r w:rsidRPr="000825DB">
        <w:rPr>
          <w:rFonts w:asciiTheme="minorHAnsi" w:hAnsiTheme="minorHAnsi" w:cstheme="minorHAnsi"/>
          <w:sz w:val="20"/>
          <w:szCs w:val="20"/>
        </w:rPr>
        <w:t xml:space="preserve"> včetně jejího vedení ve stavbě</w:t>
      </w:r>
      <w:r w:rsidR="00961338">
        <w:rPr>
          <w:rFonts w:asciiTheme="minorHAnsi" w:hAnsiTheme="minorHAnsi" w:cstheme="minorHAnsi"/>
          <w:sz w:val="20"/>
          <w:szCs w:val="20"/>
        </w:rPr>
        <w:t>,</w:t>
      </w:r>
      <w:r w:rsidRPr="000825DB">
        <w:rPr>
          <w:rFonts w:asciiTheme="minorHAnsi" w:hAnsiTheme="minorHAnsi" w:cstheme="minorHAnsi"/>
          <w:sz w:val="20"/>
          <w:szCs w:val="20"/>
        </w:rPr>
        <w:t xml:space="preserve"> a pro umístění OPS, které zahrnuje zejména:</w:t>
      </w:r>
    </w:p>
    <w:p w14:paraId="2C8C2B3B" w14:textId="432914F8" w:rsidR="00D70EC1" w:rsidRPr="000825DB" w:rsidRDefault="00D70EC1" w:rsidP="00D70EC1">
      <w:pPr>
        <w:pStyle w:val="Odstavecseseznamem"/>
        <w:numPr>
          <w:ilvl w:val="1"/>
          <w:numId w:val="20"/>
        </w:numPr>
        <w:spacing w:before="0" w:after="200" w:line="276" w:lineRule="auto"/>
        <w:rPr>
          <w:rFonts w:asciiTheme="minorHAnsi" w:hAnsiTheme="minorHAnsi" w:cstheme="minorHAnsi"/>
          <w:sz w:val="20"/>
          <w:szCs w:val="20"/>
        </w:rPr>
      </w:pPr>
      <w:r w:rsidRPr="000825DB">
        <w:rPr>
          <w:rFonts w:asciiTheme="minorHAnsi" w:hAnsiTheme="minorHAnsi" w:cstheme="minorHAnsi"/>
          <w:sz w:val="20"/>
          <w:szCs w:val="20"/>
        </w:rPr>
        <w:t>Zajištění způsobilého odběrného tepelného zařízení, které bude zajišťovat bezporuchový odběr tepelné energie z Investice, tj. provoz rozdělovače a sběrače ÚT, s regulací jednotlivých větví a odběr teplé vody v Budoucím odběrném místě</w:t>
      </w:r>
      <w:r w:rsidR="00961338">
        <w:rPr>
          <w:rFonts w:asciiTheme="minorHAnsi" w:hAnsiTheme="minorHAnsi" w:cstheme="minorHAnsi"/>
          <w:sz w:val="20"/>
          <w:szCs w:val="20"/>
        </w:rPr>
        <w:t>, a zajištění Stavební připravenosti v dostatečném předstihu pro realizaci Investice</w:t>
      </w:r>
      <w:r w:rsidRPr="000825DB">
        <w:rPr>
          <w:rFonts w:asciiTheme="minorHAnsi" w:hAnsiTheme="minorHAnsi" w:cstheme="minorHAnsi"/>
          <w:sz w:val="20"/>
          <w:szCs w:val="20"/>
        </w:rPr>
        <w:t>;</w:t>
      </w:r>
    </w:p>
    <w:p w14:paraId="18633AFF" w14:textId="77777777" w:rsidR="00D70EC1" w:rsidRPr="000825DB" w:rsidRDefault="00D70EC1" w:rsidP="00D70EC1">
      <w:pPr>
        <w:pStyle w:val="Odstavecseseznamem"/>
        <w:numPr>
          <w:ilvl w:val="1"/>
          <w:numId w:val="20"/>
        </w:numPr>
        <w:spacing w:before="0" w:after="200" w:line="276" w:lineRule="auto"/>
        <w:rPr>
          <w:rFonts w:asciiTheme="minorHAnsi" w:hAnsiTheme="minorHAnsi" w:cstheme="minorHAnsi"/>
          <w:sz w:val="20"/>
          <w:szCs w:val="20"/>
        </w:rPr>
      </w:pPr>
      <w:r w:rsidRPr="000825DB">
        <w:rPr>
          <w:rFonts w:asciiTheme="minorHAnsi" w:hAnsiTheme="minorHAnsi" w:cstheme="minorHAnsi"/>
          <w:sz w:val="20"/>
          <w:szCs w:val="20"/>
        </w:rPr>
        <w:t>Případně další stavebně-technická plnění, která budou stanovena jako podmínky pro provedení stavby – stavební úpravy (změny způsobu vytápění), v obsahu stavebního povolení a která obvykle nejsou spjata s vybudováním teplovodní přípojky nebo instalací objektové předávací stanice;</w:t>
      </w:r>
    </w:p>
    <w:p w14:paraId="31DB03D5" w14:textId="77777777" w:rsidR="00D70EC1" w:rsidRPr="000825DB" w:rsidRDefault="00D70EC1" w:rsidP="00D70EC1">
      <w:pPr>
        <w:pStyle w:val="Odstavecseseznamem"/>
        <w:numPr>
          <w:ilvl w:val="1"/>
          <w:numId w:val="20"/>
        </w:numPr>
        <w:spacing w:before="0" w:after="200" w:line="276" w:lineRule="auto"/>
        <w:rPr>
          <w:rFonts w:asciiTheme="minorHAnsi" w:hAnsiTheme="minorHAnsi" w:cstheme="minorHAnsi"/>
          <w:sz w:val="20"/>
          <w:szCs w:val="20"/>
        </w:rPr>
      </w:pPr>
      <w:r w:rsidRPr="000825DB">
        <w:rPr>
          <w:rFonts w:asciiTheme="minorHAnsi" w:hAnsiTheme="minorHAnsi" w:cstheme="minorHAnsi"/>
          <w:sz w:val="20"/>
          <w:szCs w:val="20"/>
        </w:rPr>
        <w:t xml:space="preserve">Získání stavebního povolení pro změnu způsobu vytápění (stavební úpravu spočívající ve změně zdroje tepla), bude-li právními předpisy vyžadováno pro zhotovení Investice.  </w:t>
      </w:r>
    </w:p>
    <w:p w14:paraId="3A2EC8E3" w14:textId="33FCF7F5" w:rsidR="00D70EC1" w:rsidRDefault="00D70EC1" w:rsidP="00D70EC1">
      <w:pPr>
        <w:pStyle w:val="Odstavecseseznamem"/>
        <w:numPr>
          <w:ilvl w:val="0"/>
          <w:numId w:val="20"/>
        </w:numPr>
        <w:spacing w:before="0" w:after="200" w:line="276" w:lineRule="auto"/>
        <w:rPr>
          <w:rFonts w:asciiTheme="minorHAnsi" w:hAnsiTheme="minorHAnsi" w:cstheme="minorHAnsi"/>
          <w:sz w:val="20"/>
          <w:szCs w:val="20"/>
        </w:rPr>
      </w:pPr>
      <w:r w:rsidRPr="000825DB">
        <w:rPr>
          <w:rFonts w:asciiTheme="minorHAnsi" w:hAnsiTheme="minorHAnsi" w:cstheme="minorHAnsi"/>
          <w:sz w:val="20"/>
          <w:szCs w:val="20"/>
        </w:rPr>
        <w:t xml:space="preserve">Získání územního rozhodnutí a případně stavebního povolení pro umístění </w:t>
      </w:r>
      <w:r w:rsidR="00667977">
        <w:rPr>
          <w:rFonts w:asciiTheme="minorHAnsi" w:hAnsiTheme="minorHAnsi" w:cstheme="minorHAnsi"/>
          <w:sz w:val="20"/>
          <w:szCs w:val="20"/>
        </w:rPr>
        <w:t>TP</w:t>
      </w:r>
      <w:r w:rsidRPr="000825DB">
        <w:rPr>
          <w:rFonts w:asciiTheme="minorHAnsi" w:hAnsiTheme="minorHAnsi" w:cstheme="minorHAnsi"/>
          <w:sz w:val="20"/>
          <w:szCs w:val="20"/>
        </w:rPr>
        <w:t xml:space="preserve"> (shora), bude-li právními předpisy vyžadováno;</w:t>
      </w:r>
    </w:p>
    <w:p w14:paraId="1A32E98F" w14:textId="33293276" w:rsidR="00961338" w:rsidRDefault="00961338" w:rsidP="00D70EC1">
      <w:pPr>
        <w:pStyle w:val="Odstavecseseznamem"/>
        <w:numPr>
          <w:ilvl w:val="0"/>
          <w:numId w:val="20"/>
        </w:numPr>
        <w:spacing w:before="0" w:after="200" w:line="276" w:lineRule="auto"/>
        <w:rPr>
          <w:rFonts w:asciiTheme="minorHAnsi" w:hAnsiTheme="minorHAnsi" w:cstheme="minorHAnsi"/>
          <w:sz w:val="20"/>
          <w:szCs w:val="20"/>
        </w:rPr>
      </w:pPr>
      <w:r>
        <w:rPr>
          <w:rFonts w:asciiTheme="minorHAnsi" w:hAnsiTheme="minorHAnsi" w:cstheme="minorHAnsi"/>
          <w:sz w:val="20"/>
          <w:szCs w:val="20"/>
        </w:rPr>
        <w:t xml:space="preserve">Získání souhlasu </w:t>
      </w:r>
      <w:r w:rsidR="00B228BD">
        <w:rPr>
          <w:rFonts w:asciiTheme="minorHAnsi" w:hAnsiTheme="minorHAnsi" w:cstheme="minorHAnsi"/>
          <w:sz w:val="20"/>
          <w:szCs w:val="20"/>
        </w:rPr>
        <w:t>Statutárního města Liberec</w:t>
      </w:r>
      <w:r>
        <w:rPr>
          <w:rFonts w:asciiTheme="minorHAnsi" w:hAnsiTheme="minorHAnsi" w:cstheme="minorHAnsi"/>
          <w:sz w:val="20"/>
          <w:szCs w:val="20"/>
        </w:rPr>
        <w:t xml:space="preserve"> k umístění (vedení) a provozu TP na pozemcích dotčených Investicí (viz. odst. 4/ tohoto článku Smlouvy) a zřízení práva odpovídajícího věcnému břemeni vedení a provozu TP na pozemcích dotčených Investicí (a to </w:t>
      </w:r>
      <w:r w:rsidR="00AA7A94">
        <w:rPr>
          <w:rFonts w:asciiTheme="minorHAnsi" w:hAnsiTheme="minorHAnsi" w:cstheme="minorHAnsi"/>
          <w:sz w:val="20"/>
          <w:szCs w:val="20"/>
        </w:rPr>
        <w:t>případné i</w:t>
      </w:r>
      <w:r>
        <w:rPr>
          <w:rFonts w:asciiTheme="minorHAnsi" w:hAnsiTheme="minorHAnsi" w:cstheme="minorHAnsi"/>
          <w:sz w:val="20"/>
          <w:szCs w:val="20"/>
        </w:rPr>
        <w:t xml:space="preserve"> budoucího</w:t>
      </w:r>
      <w:r w:rsidR="00AA7A94">
        <w:rPr>
          <w:rFonts w:asciiTheme="minorHAnsi" w:hAnsiTheme="minorHAnsi" w:cstheme="minorHAnsi"/>
          <w:sz w:val="20"/>
          <w:szCs w:val="20"/>
        </w:rPr>
        <w:t>)</w:t>
      </w:r>
      <w:r>
        <w:rPr>
          <w:rFonts w:asciiTheme="minorHAnsi" w:hAnsiTheme="minorHAnsi" w:cstheme="minorHAnsi"/>
          <w:sz w:val="20"/>
          <w:szCs w:val="20"/>
        </w:rPr>
        <w:t>; K tomu se zavazuje Budoucího odběratel poskytnout nezbytnou součinnost.</w:t>
      </w:r>
    </w:p>
    <w:p w14:paraId="69B17C27" w14:textId="77777777" w:rsidR="00AA7A94" w:rsidRPr="000825DB" w:rsidRDefault="00AA7A94" w:rsidP="005B4FEB">
      <w:pPr>
        <w:pStyle w:val="Odstavecseseznamem"/>
        <w:spacing w:before="0" w:after="200" w:line="276" w:lineRule="auto"/>
        <w:ind w:left="930"/>
        <w:rPr>
          <w:rFonts w:asciiTheme="minorHAnsi" w:hAnsiTheme="minorHAnsi" w:cstheme="minorHAnsi"/>
          <w:sz w:val="20"/>
          <w:szCs w:val="20"/>
        </w:rPr>
      </w:pPr>
    </w:p>
    <w:p w14:paraId="64627461" w14:textId="77777777" w:rsidR="00D70EC1" w:rsidRPr="00D70EC1" w:rsidRDefault="00D70EC1" w:rsidP="00D70EC1">
      <w:pPr>
        <w:jc w:val="center"/>
        <w:rPr>
          <w:rFonts w:asciiTheme="minorHAnsi" w:hAnsiTheme="minorHAnsi" w:cstheme="minorHAnsi"/>
          <w:b/>
          <w:sz w:val="20"/>
          <w:szCs w:val="20"/>
        </w:rPr>
      </w:pPr>
      <w:r w:rsidRPr="00D70EC1">
        <w:rPr>
          <w:rFonts w:asciiTheme="minorHAnsi" w:hAnsiTheme="minorHAnsi" w:cstheme="minorHAnsi"/>
          <w:b/>
          <w:sz w:val="20"/>
          <w:szCs w:val="20"/>
        </w:rPr>
        <w:t>II. Budoucí závazky</w:t>
      </w:r>
    </w:p>
    <w:p w14:paraId="30179338" w14:textId="40DF6620" w:rsidR="00D70EC1" w:rsidRPr="00D70EC1" w:rsidRDefault="00D70EC1" w:rsidP="00D70EC1">
      <w:pPr>
        <w:ind w:left="567" w:hanging="567"/>
        <w:rPr>
          <w:rFonts w:asciiTheme="minorHAnsi" w:hAnsiTheme="minorHAnsi" w:cstheme="minorHAnsi"/>
          <w:sz w:val="20"/>
          <w:szCs w:val="20"/>
        </w:rPr>
      </w:pPr>
      <w:r w:rsidRPr="00D70EC1">
        <w:rPr>
          <w:rFonts w:asciiTheme="minorHAnsi" w:hAnsiTheme="minorHAnsi" w:cstheme="minorHAnsi"/>
          <w:sz w:val="20"/>
          <w:szCs w:val="20"/>
        </w:rPr>
        <w:t>1/</w:t>
      </w:r>
      <w:r w:rsidRPr="00D70EC1">
        <w:rPr>
          <w:rFonts w:asciiTheme="minorHAnsi" w:hAnsiTheme="minorHAnsi" w:cstheme="minorHAnsi"/>
          <w:sz w:val="20"/>
          <w:szCs w:val="20"/>
        </w:rPr>
        <w:tab/>
        <w:t xml:space="preserve">V rámci předsmluvních jednání bylo ujednáno, že TLI se touto Smlouvou zaváže, že vybuduje Investici za podmínek stanovených v této Smlouvě oproti závazku Budoucího odběratele k odběru celkového minimálního množství </w:t>
      </w:r>
      <w:r w:rsidR="007B5C5F">
        <w:rPr>
          <w:rFonts w:asciiTheme="minorHAnsi" w:hAnsiTheme="minorHAnsi" w:cstheme="minorHAnsi"/>
          <w:b/>
          <w:sz w:val="20"/>
          <w:szCs w:val="20"/>
        </w:rPr>
        <w:t>4</w:t>
      </w:r>
      <w:r w:rsidR="00EA1F3B">
        <w:rPr>
          <w:rFonts w:asciiTheme="minorHAnsi" w:hAnsiTheme="minorHAnsi" w:cstheme="minorHAnsi"/>
          <w:b/>
          <w:sz w:val="20"/>
          <w:szCs w:val="20"/>
        </w:rPr>
        <w:t xml:space="preserve"> </w:t>
      </w:r>
      <w:r w:rsidR="007B5C5F">
        <w:rPr>
          <w:rFonts w:asciiTheme="minorHAnsi" w:hAnsiTheme="minorHAnsi" w:cstheme="minorHAnsi"/>
          <w:b/>
          <w:sz w:val="20"/>
          <w:szCs w:val="20"/>
        </w:rPr>
        <w:t>200</w:t>
      </w:r>
      <w:r w:rsidRPr="00D70EC1">
        <w:rPr>
          <w:rFonts w:asciiTheme="minorHAnsi" w:hAnsiTheme="minorHAnsi" w:cstheme="minorHAnsi"/>
          <w:sz w:val="20"/>
          <w:szCs w:val="20"/>
        </w:rPr>
        <w:t xml:space="preserve"> </w:t>
      </w:r>
      <w:r w:rsidRPr="00D70EC1">
        <w:rPr>
          <w:rFonts w:asciiTheme="minorHAnsi" w:hAnsiTheme="minorHAnsi" w:cstheme="minorHAnsi"/>
          <w:b/>
          <w:bCs/>
          <w:sz w:val="20"/>
          <w:szCs w:val="20"/>
        </w:rPr>
        <w:t>(</w:t>
      </w:r>
      <w:r w:rsidR="007B5C5F">
        <w:rPr>
          <w:rFonts w:asciiTheme="minorHAnsi" w:hAnsiTheme="minorHAnsi" w:cstheme="minorHAnsi"/>
          <w:b/>
          <w:bCs/>
          <w:sz w:val="20"/>
          <w:szCs w:val="20"/>
        </w:rPr>
        <w:t>čtyři</w:t>
      </w:r>
      <w:r w:rsidRPr="00D70EC1">
        <w:rPr>
          <w:rFonts w:asciiTheme="minorHAnsi" w:hAnsiTheme="minorHAnsi" w:cstheme="minorHAnsi"/>
          <w:b/>
          <w:bCs/>
          <w:sz w:val="20"/>
          <w:szCs w:val="20"/>
        </w:rPr>
        <w:t xml:space="preserve"> tisíc</w:t>
      </w:r>
      <w:r w:rsidR="007B5C5F">
        <w:rPr>
          <w:rFonts w:asciiTheme="minorHAnsi" w:hAnsiTheme="minorHAnsi" w:cstheme="minorHAnsi"/>
          <w:b/>
          <w:bCs/>
          <w:sz w:val="20"/>
          <w:szCs w:val="20"/>
        </w:rPr>
        <w:t>e</w:t>
      </w:r>
      <w:r w:rsidRPr="00D70EC1">
        <w:rPr>
          <w:rFonts w:asciiTheme="minorHAnsi" w:hAnsiTheme="minorHAnsi" w:cstheme="minorHAnsi"/>
          <w:b/>
          <w:bCs/>
          <w:sz w:val="20"/>
          <w:szCs w:val="20"/>
        </w:rPr>
        <w:t xml:space="preserve"> </w:t>
      </w:r>
      <w:r w:rsidR="007B5C5F">
        <w:rPr>
          <w:rFonts w:asciiTheme="minorHAnsi" w:hAnsiTheme="minorHAnsi" w:cstheme="minorHAnsi"/>
          <w:b/>
          <w:bCs/>
          <w:sz w:val="20"/>
          <w:szCs w:val="20"/>
        </w:rPr>
        <w:t>dvě</w:t>
      </w:r>
      <w:r w:rsidRPr="00D70EC1">
        <w:rPr>
          <w:rFonts w:asciiTheme="minorHAnsi" w:hAnsiTheme="minorHAnsi" w:cstheme="minorHAnsi"/>
          <w:b/>
          <w:bCs/>
          <w:sz w:val="20"/>
          <w:szCs w:val="20"/>
        </w:rPr>
        <w:t xml:space="preserve"> st</w:t>
      </w:r>
      <w:r w:rsidR="007B5C5F">
        <w:rPr>
          <w:rFonts w:asciiTheme="minorHAnsi" w:hAnsiTheme="minorHAnsi" w:cstheme="minorHAnsi"/>
          <w:b/>
          <w:bCs/>
          <w:sz w:val="20"/>
          <w:szCs w:val="20"/>
        </w:rPr>
        <w:t>ě</w:t>
      </w:r>
      <w:r w:rsidRPr="00D70EC1">
        <w:rPr>
          <w:rFonts w:asciiTheme="minorHAnsi" w:hAnsiTheme="minorHAnsi" w:cstheme="minorHAnsi"/>
          <w:b/>
          <w:bCs/>
          <w:sz w:val="20"/>
          <w:szCs w:val="20"/>
        </w:rPr>
        <w:t>) GJ</w:t>
      </w:r>
      <w:r w:rsidRPr="00D70EC1">
        <w:rPr>
          <w:rFonts w:asciiTheme="minorHAnsi" w:hAnsiTheme="minorHAnsi" w:cstheme="minorHAnsi"/>
          <w:sz w:val="20"/>
          <w:szCs w:val="20"/>
        </w:rPr>
        <w:t xml:space="preserve"> tepelné energie (dále jen „</w:t>
      </w:r>
      <w:r w:rsidRPr="00D70EC1">
        <w:rPr>
          <w:rFonts w:asciiTheme="minorHAnsi" w:hAnsiTheme="minorHAnsi" w:cstheme="minorHAnsi"/>
          <w:b/>
          <w:bCs/>
          <w:sz w:val="20"/>
          <w:szCs w:val="20"/>
        </w:rPr>
        <w:t>Minimální množství</w:t>
      </w:r>
      <w:r w:rsidRPr="00D70EC1">
        <w:rPr>
          <w:rFonts w:asciiTheme="minorHAnsi" w:hAnsiTheme="minorHAnsi" w:cstheme="minorHAnsi"/>
          <w:sz w:val="20"/>
          <w:szCs w:val="20"/>
        </w:rPr>
        <w:t xml:space="preserve">“) </w:t>
      </w:r>
      <w:r w:rsidR="00AA7A94">
        <w:rPr>
          <w:rFonts w:asciiTheme="minorHAnsi" w:hAnsiTheme="minorHAnsi" w:cstheme="minorHAnsi"/>
          <w:sz w:val="20"/>
          <w:szCs w:val="20"/>
        </w:rPr>
        <w:t xml:space="preserve">v Budoucím odběrném místě </w:t>
      </w:r>
      <w:r w:rsidRPr="00D70EC1">
        <w:rPr>
          <w:rFonts w:asciiTheme="minorHAnsi" w:hAnsiTheme="minorHAnsi" w:cstheme="minorHAnsi"/>
          <w:sz w:val="20"/>
          <w:szCs w:val="20"/>
        </w:rPr>
        <w:t xml:space="preserve">po sjednanou </w:t>
      </w:r>
      <w:r w:rsidRPr="00EA1F3B">
        <w:rPr>
          <w:rFonts w:asciiTheme="minorHAnsi" w:hAnsiTheme="minorHAnsi" w:cstheme="minorHAnsi"/>
          <w:b/>
          <w:bCs/>
          <w:sz w:val="20"/>
          <w:szCs w:val="20"/>
        </w:rPr>
        <w:t>dobu určitou</w:t>
      </w:r>
      <w:r w:rsidRPr="00D70EC1">
        <w:rPr>
          <w:rFonts w:asciiTheme="minorHAnsi" w:hAnsiTheme="minorHAnsi" w:cstheme="minorHAnsi"/>
          <w:b/>
          <w:sz w:val="20"/>
          <w:szCs w:val="20"/>
        </w:rPr>
        <w:t xml:space="preserve"> </w:t>
      </w:r>
      <w:r w:rsidR="007B5C5F">
        <w:rPr>
          <w:rFonts w:asciiTheme="minorHAnsi" w:hAnsiTheme="minorHAnsi" w:cstheme="minorHAnsi"/>
          <w:b/>
          <w:sz w:val="20"/>
          <w:szCs w:val="20"/>
        </w:rPr>
        <w:t>pat</w:t>
      </w:r>
      <w:r w:rsidRPr="00D70EC1">
        <w:rPr>
          <w:rFonts w:asciiTheme="minorHAnsi" w:hAnsiTheme="minorHAnsi" w:cstheme="minorHAnsi"/>
          <w:b/>
          <w:sz w:val="20"/>
          <w:szCs w:val="20"/>
        </w:rPr>
        <w:t>nácti (1</w:t>
      </w:r>
      <w:r w:rsidR="007B5C5F">
        <w:rPr>
          <w:rFonts w:asciiTheme="minorHAnsi" w:hAnsiTheme="minorHAnsi" w:cstheme="minorHAnsi"/>
          <w:b/>
          <w:sz w:val="20"/>
          <w:szCs w:val="20"/>
        </w:rPr>
        <w:t>5</w:t>
      </w:r>
      <w:r w:rsidRPr="00D70EC1">
        <w:rPr>
          <w:rFonts w:asciiTheme="minorHAnsi" w:hAnsiTheme="minorHAnsi" w:cstheme="minorHAnsi"/>
          <w:b/>
          <w:sz w:val="20"/>
          <w:szCs w:val="20"/>
        </w:rPr>
        <w:t>) let</w:t>
      </w:r>
      <w:r w:rsidRPr="00D70EC1">
        <w:rPr>
          <w:rFonts w:asciiTheme="minorHAnsi" w:hAnsiTheme="minorHAnsi" w:cstheme="minorHAnsi"/>
          <w:sz w:val="20"/>
          <w:szCs w:val="20"/>
        </w:rPr>
        <w:t xml:space="preserve"> ode dne účinnosti kupní smlouvy o odběru tepelné energie (zahájení dodávky tepelné energie) nebo oproti závazku Budoucího odběratele k náhradě Investice a náhradě ušlého zisku a škody, které TLI v případě nerealizace odběru Budoucího odběratele alespoň v Minimálním množství (čl. II. odst. 1/ této smlouvy) při dodržení sjednané doby vzniknou. </w:t>
      </w:r>
    </w:p>
    <w:p w14:paraId="137786FD" w14:textId="761F97D6" w:rsidR="00D70EC1" w:rsidRPr="00D70EC1" w:rsidRDefault="00D70EC1" w:rsidP="00D70EC1">
      <w:pPr>
        <w:ind w:left="567" w:hanging="567"/>
        <w:rPr>
          <w:rFonts w:asciiTheme="minorHAnsi" w:hAnsiTheme="minorHAnsi" w:cstheme="minorHAnsi"/>
          <w:sz w:val="20"/>
          <w:szCs w:val="20"/>
        </w:rPr>
      </w:pPr>
      <w:r w:rsidRPr="00D70EC1">
        <w:rPr>
          <w:rFonts w:asciiTheme="minorHAnsi" w:hAnsiTheme="minorHAnsi" w:cstheme="minorHAnsi"/>
          <w:sz w:val="20"/>
          <w:szCs w:val="20"/>
        </w:rPr>
        <w:t xml:space="preserve">2/ </w:t>
      </w:r>
      <w:r w:rsidRPr="00D70EC1">
        <w:rPr>
          <w:rFonts w:asciiTheme="minorHAnsi" w:hAnsiTheme="minorHAnsi" w:cstheme="minorHAnsi"/>
          <w:sz w:val="20"/>
          <w:szCs w:val="20"/>
        </w:rPr>
        <w:tab/>
        <w:t>V rámci předsmluvních ujednání bylo sjednáno, že Budoucí odběratel se touto Smlouvou zaváže, že po dokončení Investice specifikované v článku I. odst. 4/ uzavře s TLI kupní smlouvu o dodávce tepelné energie (dále jen „</w:t>
      </w:r>
      <w:r w:rsidRPr="00D70EC1">
        <w:rPr>
          <w:rFonts w:asciiTheme="minorHAnsi" w:hAnsiTheme="minorHAnsi" w:cstheme="minorHAnsi"/>
          <w:b/>
          <w:bCs/>
          <w:sz w:val="20"/>
          <w:szCs w:val="20"/>
        </w:rPr>
        <w:t>Smlouva o dodávce</w:t>
      </w:r>
      <w:r w:rsidRPr="00D70EC1">
        <w:rPr>
          <w:rFonts w:asciiTheme="minorHAnsi" w:hAnsiTheme="minorHAnsi" w:cstheme="minorHAnsi"/>
          <w:sz w:val="20"/>
          <w:szCs w:val="20"/>
        </w:rPr>
        <w:t xml:space="preserve">“) na dobu určitou </w:t>
      </w:r>
      <w:r w:rsidR="007B5C5F">
        <w:rPr>
          <w:rFonts w:asciiTheme="minorHAnsi" w:hAnsiTheme="minorHAnsi" w:cstheme="minorHAnsi"/>
          <w:sz w:val="20"/>
          <w:szCs w:val="20"/>
        </w:rPr>
        <w:t>pat</w:t>
      </w:r>
      <w:r w:rsidRPr="00D70EC1">
        <w:rPr>
          <w:rFonts w:asciiTheme="minorHAnsi" w:hAnsiTheme="minorHAnsi" w:cstheme="minorHAnsi"/>
          <w:sz w:val="20"/>
          <w:szCs w:val="20"/>
        </w:rPr>
        <w:t>nácti (1</w:t>
      </w:r>
      <w:r w:rsidR="007B5C5F">
        <w:rPr>
          <w:rFonts w:asciiTheme="minorHAnsi" w:hAnsiTheme="minorHAnsi" w:cstheme="minorHAnsi"/>
          <w:sz w:val="20"/>
          <w:szCs w:val="20"/>
        </w:rPr>
        <w:t>5</w:t>
      </w:r>
      <w:r w:rsidRPr="00D70EC1">
        <w:rPr>
          <w:rFonts w:asciiTheme="minorHAnsi" w:hAnsiTheme="minorHAnsi" w:cstheme="minorHAnsi"/>
          <w:sz w:val="20"/>
          <w:szCs w:val="20"/>
        </w:rPr>
        <w:t xml:space="preserve">) let, počínaje termínem zahájení dodávky tepelné energie (případně dnem účinnosti Smlouvy o dodávce). V případě ukončení (zejména vypovězení) Smlouvy o dodávce ze strany Budoucího odběratele dříve než po </w:t>
      </w:r>
      <w:r w:rsidR="007B5C5F">
        <w:rPr>
          <w:rFonts w:asciiTheme="minorHAnsi" w:hAnsiTheme="minorHAnsi" w:cstheme="minorHAnsi"/>
          <w:sz w:val="20"/>
          <w:szCs w:val="20"/>
        </w:rPr>
        <w:t>pat</w:t>
      </w:r>
      <w:r w:rsidRPr="00D70EC1">
        <w:rPr>
          <w:rFonts w:asciiTheme="minorHAnsi" w:hAnsiTheme="minorHAnsi" w:cstheme="minorHAnsi"/>
          <w:sz w:val="20"/>
          <w:szCs w:val="20"/>
        </w:rPr>
        <w:t>nácti (1</w:t>
      </w:r>
      <w:r w:rsidR="007B5C5F">
        <w:rPr>
          <w:rFonts w:asciiTheme="minorHAnsi" w:hAnsiTheme="minorHAnsi" w:cstheme="minorHAnsi"/>
          <w:sz w:val="20"/>
          <w:szCs w:val="20"/>
        </w:rPr>
        <w:t>5</w:t>
      </w:r>
      <w:r w:rsidRPr="00D70EC1">
        <w:rPr>
          <w:rFonts w:asciiTheme="minorHAnsi" w:hAnsiTheme="minorHAnsi" w:cstheme="minorHAnsi"/>
          <w:sz w:val="20"/>
          <w:szCs w:val="20"/>
        </w:rPr>
        <w:t>) letech trvání doby určité bude Budoucímu odběrateli jednorázově doúčtována částka (škoda) na základě následujícího vzorce: (1/1</w:t>
      </w:r>
      <w:r w:rsidR="007B5C5F">
        <w:rPr>
          <w:rFonts w:asciiTheme="minorHAnsi" w:hAnsiTheme="minorHAnsi" w:cstheme="minorHAnsi"/>
          <w:sz w:val="20"/>
          <w:szCs w:val="20"/>
        </w:rPr>
        <w:t>5</w:t>
      </w:r>
      <w:r w:rsidRPr="00D70EC1">
        <w:rPr>
          <w:rFonts w:asciiTheme="minorHAnsi" w:hAnsiTheme="minorHAnsi" w:cstheme="minorHAnsi"/>
          <w:sz w:val="20"/>
          <w:szCs w:val="20"/>
        </w:rPr>
        <w:t xml:space="preserve"> podílu nákladů</w:t>
      </w:r>
      <w:r w:rsidR="00AA7A94">
        <w:rPr>
          <w:rFonts w:asciiTheme="minorHAnsi" w:hAnsiTheme="minorHAnsi" w:cstheme="minorHAnsi"/>
          <w:sz w:val="20"/>
          <w:szCs w:val="20"/>
        </w:rPr>
        <w:t xml:space="preserve"> TLI na provedení a dokončení Investice</w:t>
      </w:r>
      <w:r w:rsidR="00EA2D28">
        <w:rPr>
          <w:rFonts w:asciiTheme="minorHAnsi" w:hAnsiTheme="minorHAnsi" w:cstheme="minorHAnsi"/>
          <w:sz w:val="20"/>
          <w:szCs w:val="20"/>
        </w:rPr>
        <w:t xml:space="preserve"> po odečtení Budoucím odběratelem zaplaceného podílu na Investici (čl. II. odst. 5/ této Smlouvy)</w:t>
      </w:r>
      <w:r w:rsidR="00867C5B">
        <w:rPr>
          <w:rFonts w:asciiTheme="minorHAnsi" w:hAnsiTheme="minorHAnsi" w:cstheme="minorHAnsi"/>
          <w:sz w:val="20"/>
          <w:szCs w:val="20"/>
        </w:rPr>
        <w:t xml:space="preserve"> </w:t>
      </w:r>
      <w:r w:rsidR="00EA2D28">
        <w:rPr>
          <w:rFonts w:asciiTheme="minorHAnsi" w:hAnsiTheme="minorHAnsi" w:cstheme="minorHAnsi"/>
          <w:sz w:val="20"/>
          <w:szCs w:val="20"/>
        </w:rPr>
        <w:t xml:space="preserve"> </w:t>
      </w:r>
      <w:r w:rsidRPr="00D70EC1">
        <w:rPr>
          <w:rFonts w:asciiTheme="minorHAnsi" w:hAnsiTheme="minorHAnsi" w:cstheme="minorHAnsi"/>
          <w:sz w:val="20"/>
          <w:szCs w:val="20"/>
        </w:rPr>
        <w:t xml:space="preserve"> včetně 1/1</w:t>
      </w:r>
      <w:r w:rsidR="007B5C5F">
        <w:rPr>
          <w:rFonts w:asciiTheme="minorHAnsi" w:hAnsiTheme="minorHAnsi" w:cstheme="minorHAnsi"/>
          <w:sz w:val="20"/>
          <w:szCs w:val="20"/>
        </w:rPr>
        <w:t>5</w:t>
      </w:r>
      <w:r w:rsidRPr="00D70EC1">
        <w:rPr>
          <w:rFonts w:asciiTheme="minorHAnsi" w:hAnsiTheme="minorHAnsi" w:cstheme="minorHAnsi"/>
          <w:sz w:val="20"/>
          <w:szCs w:val="20"/>
        </w:rPr>
        <w:t xml:space="preserve"> roční marže ze smluvního objemu dodávek tepelné energie) * počet let (i započatých) do konce kontraktu (</w:t>
      </w:r>
      <w:r w:rsidR="00AA7A94">
        <w:rPr>
          <w:rFonts w:asciiTheme="minorHAnsi" w:hAnsiTheme="minorHAnsi" w:cstheme="minorHAnsi"/>
          <w:sz w:val="20"/>
          <w:szCs w:val="20"/>
        </w:rPr>
        <w:t xml:space="preserve">tj. </w:t>
      </w:r>
      <w:r w:rsidRPr="00D70EC1">
        <w:rPr>
          <w:rFonts w:asciiTheme="minorHAnsi" w:hAnsiTheme="minorHAnsi" w:cstheme="minorHAnsi"/>
          <w:sz w:val="20"/>
          <w:szCs w:val="20"/>
        </w:rPr>
        <w:t xml:space="preserve">do data, ve kterém by měla uplynout doba určitá </w:t>
      </w:r>
      <w:r w:rsidR="007B5C5F">
        <w:rPr>
          <w:rFonts w:asciiTheme="minorHAnsi" w:hAnsiTheme="minorHAnsi" w:cstheme="minorHAnsi"/>
          <w:sz w:val="20"/>
          <w:szCs w:val="20"/>
        </w:rPr>
        <w:t>pat</w:t>
      </w:r>
      <w:r w:rsidRPr="00D70EC1">
        <w:rPr>
          <w:rFonts w:asciiTheme="minorHAnsi" w:hAnsiTheme="minorHAnsi" w:cstheme="minorHAnsi"/>
          <w:sz w:val="20"/>
          <w:szCs w:val="20"/>
        </w:rPr>
        <w:t>náct (1</w:t>
      </w:r>
      <w:r w:rsidR="007B5C5F">
        <w:rPr>
          <w:rFonts w:asciiTheme="minorHAnsi" w:hAnsiTheme="minorHAnsi" w:cstheme="minorHAnsi"/>
          <w:sz w:val="20"/>
          <w:szCs w:val="20"/>
        </w:rPr>
        <w:t>5</w:t>
      </w:r>
      <w:r w:rsidRPr="00D70EC1">
        <w:rPr>
          <w:rFonts w:asciiTheme="minorHAnsi" w:hAnsiTheme="minorHAnsi" w:cstheme="minorHAnsi"/>
          <w:sz w:val="20"/>
          <w:szCs w:val="20"/>
        </w:rPr>
        <w:t xml:space="preserve">) let trvání nepřetržité dodávky tepelné energie dle Smlouvy o dodávce do Budoucího odběrného místa), kterou se Budoucí odběratel zaváže TLI </w:t>
      </w:r>
      <w:r w:rsidRPr="00D70EC1">
        <w:rPr>
          <w:rFonts w:asciiTheme="minorHAnsi" w:hAnsiTheme="minorHAnsi" w:cstheme="minorHAnsi"/>
          <w:sz w:val="20"/>
          <w:szCs w:val="20"/>
        </w:rPr>
        <w:lastRenderedPageBreak/>
        <w:t>uhradit.</w:t>
      </w:r>
      <w:r w:rsidR="00AA7A94">
        <w:rPr>
          <w:rFonts w:asciiTheme="minorHAnsi" w:hAnsiTheme="minorHAnsi" w:cstheme="minorHAnsi"/>
          <w:sz w:val="20"/>
          <w:szCs w:val="20"/>
        </w:rPr>
        <w:t xml:space="preserve"> Roční marže se určuje z účetnictví TLI v roce, ve kterém došlo k ukončení dodávky tepelné energie do Budoucího odběrného místa. </w:t>
      </w:r>
    </w:p>
    <w:p w14:paraId="6B8261DD" w14:textId="77777777" w:rsidR="00D70EC1" w:rsidRPr="00D70EC1" w:rsidRDefault="00D70EC1" w:rsidP="00D70EC1">
      <w:pPr>
        <w:ind w:left="567" w:hanging="567"/>
        <w:rPr>
          <w:rFonts w:asciiTheme="minorHAnsi" w:hAnsiTheme="minorHAnsi" w:cstheme="minorHAnsi"/>
          <w:sz w:val="20"/>
          <w:szCs w:val="20"/>
        </w:rPr>
      </w:pPr>
      <w:r w:rsidRPr="00D70EC1">
        <w:rPr>
          <w:rFonts w:asciiTheme="minorHAnsi" w:hAnsiTheme="minorHAnsi" w:cstheme="minorHAnsi"/>
          <w:sz w:val="20"/>
          <w:szCs w:val="20"/>
        </w:rPr>
        <w:t xml:space="preserve">3/ </w:t>
      </w:r>
      <w:r w:rsidRPr="00D70EC1">
        <w:rPr>
          <w:rFonts w:asciiTheme="minorHAnsi" w:hAnsiTheme="minorHAnsi" w:cstheme="minorHAnsi"/>
          <w:sz w:val="20"/>
          <w:szCs w:val="20"/>
        </w:rPr>
        <w:tab/>
        <w:t>Závazek Budoucího odběratele sjednaný v odst. 1/ k odběru Minimálního množství po určitou dobu musí být zachován i ve všech případech, kdy dojde ke změně v osobě u Budoucího odběratele nebo převodu nebo přechodu jeho majetku, který bude tvořit Budoucí odběrné místo (nabyvatel tohoto majetku či nástupce Budoucího odběratele tak bude muset v plném rozsahu převzít práva a povinnosti Budoucího odběratele) a převod majetku Budoucího odběratele na třetí osobu musí být podmíněn předchozím písemným souhlasem TLI (to platí i pro případný přechod majetku na nástupnickou osobu, např. prodejem objektu, apod.), pokud k takovémuto převodu má dojít v době trvání závazku sjednaného v odst. 1/.</w:t>
      </w:r>
    </w:p>
    <w:p w14:paraId="03F13FD8" w14:textId="77777777" w:rsidR="00D70EC1" w:rsidRPr="00D70EC1" w:rsidRDefault="00D70EC1" w:rsidP="00D70EC1">
      <w:pPr>
        <w:spacing w:after="120"/>
        <w:ind w:left="567" w:hanging="567"/>
        <w:rPr>
          <w:rFonts w:asciiTheme="minorHAnsi" w:hAnsiTheme="minorHAnsi" w:cstheme="minorHAnsi"/>
          <w:sz w:val="20"/>
          <w:szCs w:val="20"/>
        </w:rPr>
      </w:pPr>
      <w:r w:rsidRPr="00D70EC1">
        <w:rPr>
          <w:rFonts w:asciiTheme="minorHAnsi" w:hAnsiTheme="minorHAnsi" w:cstheme="minorHAnsi"/>
          <w:sz w:val="20"/>
          <w:szCs w:val="20"/>
        </w:rPr>
        <w:t>4/</w:t>
      </w:r>
      <w:r w:rsidRPr="00D70EC1">
        <w:rPr>
          <w:rFonts w:asciiTheme="minorHAnsi" w:hAnsiTheme="minorHAnsi" w:cstheme="minorHAnsi"/>
          <w:sz w:val="20"/>
          <w:szCs w:val="20"/>
        </w:rPr>
        <w:tab/>
        <w:t>TLI touto Smlouvou zároveň musí převzít budoucí závazek dodávat Budoucímu odběrateli tepelnou energii alespoň v Minimálním množství a Budoucí odběratel musí převzít budoucí závazek tepelnou energii v tomto množství odebírat a budoucí závazek platit za ni sjednanou kupní cenu, a to za podmínek sjednaných Smluvními stranami ve </w:t>
      </w:r>
      <w:r w:rsidRPr="00D70EC1">
        <w:rPr>
          <w:rFonts w:asciiTheme="minorHAnsi" w:hAnsiTheme="minorHAnsi" w:cstheme="minorHAnsi"/>
          <w:bCs/>
          <w:iCs/>
          <w:sz w:val="20"/>
          <w:szCs w:val="20"/>
        </w:rPr>
        <w:t>Smlouvě o dodávce</w:t>
      </w:r>
      <w:r w:rsidRPr="00D70EC1">
        <w:rPr>
          <w:rFonts w:asciiTheme="minorHAnsi" w:hAnsiTheme="minorHAnsi" w:cstheme="minorHAnsi"/>
          <w:sz w:val="20"/>
          <w:szCs w:val="20"/>
        </w:rPr>
        <w:t xml:space="preserve">, kterou Smluvní strany uzavřou v souladu s touto Smlouvou. </w:t>
      </w:r>
    </w:p>
    <w:p w14:paraId="4343BAED" w14:textId="6E7CEEDC" w:rsidR="00AA7A94" w:rsidRPr="007308D1" w:rsidRDefault="00D70EC1" w:rsidP="002B6D20">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5/</w:t>
      </w:r>
      <w:r w:rsidRPr="00D70EC1">
        <w:rPr>
          <w:rFonts w:asciiTheme="minorHAnsi" w:hAnsiTheme="minorHAnsi" w:cstheme="minorHAnsi"/>
          <w:sz w:val="20"/>
          <w:szCs w:val="20"/>
        </w:rPr>
        <w:tab/>
      </w:r>
      <w:r w:rsidRPr="007308D1">
        <w:rPr>
          <w:rFonts w:asciiTheme="minorHAnsi" w:hAnsiTheme="minorHAnsi" w:cstheme="minorHAnsi"/>
          <w:sz w:val="20"/>
          <w:szCs w:val="20"/>
        </w:rPr>
        <w:t xml:space="preserve">TLI se zavazuje realizovat Investici označenou v čl. I. odst. 4/ této Smlouvy. Předpokládaná hodnota Investice činí částku </w:t>
      </w:r>
      <w:r w:rsidR="007B5C5F" w:rsidRPr="007308D1">
        <w:rPr>
          <w:rFonts w:asciiTheme="minorHAnsi" w:hAnsiTheme="minorHAnsi" w:cstheme="minorHAnsi"/>
          <w:sz w:val="20"/>
          <w:szCs w:val="20"/>
        </w:rPr>
        <w:t>1.810.000</w:t>
      </w:r>
      <w:r w:rsidRPr="007308D1">
        <w:rPr>
          <w:rFonts w:asciiTheme="minorHAnsi" w:hAnsiTheme="minorHAnsi" w:cstheme="minorHAnsi"/>
          <w:sz w:val="20"/>
          <w:szCs w:val="20"/>
        </w:rPr>
        <w:t xml:space="preserve"> Kč (</w:t>
      </w:r>
      <w:r w:rsidR="007B5C5F" w:rsidRPr="007308D1">
        <w:rPr>
          <w:rFonts w:asciiTheme="minorHAnsi" w:hAnsiTheme="minorHAnsi" w:cstheme="minorHAnsi"/>
          <w:sz w:val="20"/>
          <w:szCs w:val="20"/>
        </w:rPr>
        <w:t>jeden</w:t>
      </w:r>
      <w:r w:rsidRPr="007308D1">
        <w:rPr>
          <w:rFonts w:asciiTheme="minorHAnsi" w:hAnsiTheme="minorHAnsi" w:cstheme="minorHAnsi"/>
          <w:sz w:val="20"/>
          <w:szCs w:val="20"/>
        </w:rPr>
        <w:t xml:space="preserve"> milion</w:t>
      </w:r>
      <w:r w:rsidR="007B5C5F" w:rsidRPr="007308D1">
        <w:rPr>
          <w:rFonts w:asciiTheme="minorHAnsi" w:hAnsiTheme="minorHAnsi" w:cstheme="minorHAnsi"/>
          <w:sz w:val="20"/>
          <w:szCs w:val="20"/>
        </w:rPr>
        <w:t xml:space="preserve"> osm set deset</w:t>
      </w:r>
      <w:r w:rsidRPr="007308D1">
        <w:rPr>
          <w:rFonts w:asciiTheme="minorHAnsi" w:hAnsiTheme="minorHAnsi" w:cstheme="minorHAnsi"/>
          <w:sz w:val="20"/>
          <w:szCs w:val="20"/>
        </w:rPr>
        <w:t xml:space="preserve"> </w:t>
      </w:r>
      <w:r w:rsidR="00AA7A94" w:rsidRPr="007308D1">
        <w:rPr>
          <w:rFonts w:asciiTheme="minorHAnsi" w:hAnsiTheme="minorHAnsi" w:cstheme="minorHAnsi"/>
          <w:sz w:val="20"/>
          <w:szCs w:val="20"/>
        </w:rPr>
        <w:t xml:space="preserve">tisíc </w:t>
      </w:r>
      <w:r w:rsidRPr="007308D1">
        <w:rPr>
          <w:rFonts w:asciiTheme="minorHAnsi" w:hAnsiTheme="minorHAnsi" w:cstheme="minorHAnsi"/>
          <w:sz w:val="20"/>
          <w:szCs w:val="20"/>
        </w:rPr>
        <w:t>korun českých) bez DPH. Smluvní strany se dohodly, že TLI vyčíslí skutečnou cenu Investice po jejím dokončení</w:t>
      </w:r>
      <w:r w:rsidR="00703823" w:rsidRPr="007308D1">
        <w:rPr>
          <w:rFonts w:asciiTheme="minorHAnsi" w:hAnsiTheme="minorHAnsi" w:cstheme="minorHAnsi"/>
          <w:sz w:val="20"/>
          <w:szCs w:val="20"/>
        </w:rPr>
        <w:t>.</w:t>
      </w:r>
      <w:r w:rsidR="00703823">
        <w:rPr>
          <w:rFonts w:asciiTheme="minorHAnsi" w:hAnsiTheme="minorHAnsi" w:cstheme="minorHAnsi"/>
          <w:sz w:val="20"/>
          <w:szCs w:val="20"/>
        </w:rPr>
        <w:t xml:space="preserve"> Smluvní strany se</w:t>
      </w:r>
      <w:r w:rsidR="00A20553">
        <w:rPr>
          <w:rFonts w:asciiTheme="minorHAnsi" w:hAnsiTheme="minorHAnsi" w:cstheme="minorHAnsi"/>
          <w:sz w:val="20"/>
          <w:szCs w:val="20"/>
        </w:rPr>
        <w:t xml:space="preserve"> dále</w:t>
      </w:r>
      <w:r w:rsidR="00703823">
        <w:rPr>
          <w:rFonts w:asciiTheme="minorHAnsi" w:hAnsiTheme="minorHAnsi" w:cstheme="minorHAnsi"/>
          <w:sz w:val="20"/>
          <w:szCs w:val="20"/>
        </w:rPr>
        <w:t xml:space="preserve"> dohodly, že Budoucí odběratel se na Investici bude podílet částkou       760.000</w:t>
      </w:r>
      <w:r w:rsidR="00786C92">
        <w:rPr>
          <w:rFonts w:asciiTheme="minorHAnsi" w:hAnsiTheme="minorHAnsi" w:cstheme="minorHAnsi"/>
          <w:sz w:val="20"/>
          <w:szCs w:val="20"/>
        </w:rPr>
        <w:t xml:space="preserve"> </w:t>
      </w:r>
      <w:r w:rsidR="00703823">
        <w:rPr>
          <w:rFonts w:asciiTheme="minorHAnsi" w:hAnsiTheme="minorHAnsi" w:cstheme="minorHAnsi"/>
          <w:sz w:val="20"/>
          <w:szCs w:val="20"/>
        </w:rPr>
        <w:t>Kč (sedm set šedesát tisíc korun českých) bez DPH; V případě, že by hodnota Investice převýšila částku 1.810.000</w:t>
      </w:r>
      <w:r w:rsidR="00786C92">
        <w:rPr>
          <w:rFonts w:asciiTheme="minorHAnsi" w:hAnsiTheme="minorHAnsi" w:cstheme="minorHAnsi"/>
          <w:sz w:val="20"/>
          <w:szCs w:val="20"/>
        </w:rPr>
        <w:t xml:space="preserve"> </w:t>
      </w:r>
      <w:r w:rsidR="00703823">
        <w:rPr>
          <w:rFonts w:asciiTheme="minorHAnsi" w:hAnsiTheme="minorHAnsi" w:cstheme="minorHAnsi"/>
          <w:sz w:val="20"/>
          <w:szCs w:val="20"/>
        </w:rPr>
        <w:t xml:space="preserve">Kč bez DPH, zavazují se Smluvní strany jednat o </w:t>
      </w:r>
      <w:r w:rsidR="00A20553">
        <w:rPr>
          <w:rFonts w:asciiTheme="minorHAnsi" w:hAnsiTheme="minorHAnsi" w:cstheme="minorHAnsi"/>
          <w:sz w:val="20"/>
          <w:szCs w:val="20"/>
        </w:rPr>
        <w:t xml:space="preserve">případném </w:t>
      </w:r>
      <w:r w:rsidR="00703823">
        <w:rPr>
          <w:rFonts w:asciiTheme="minorHAnsi" w:hAnsiTheme="minorHAnsi" w:cstheme="minorHAnsi"/>
          <w:sz w:val="20"/>
          <w:szCs w:val="20"/>
        </w:rPr>
        <w:t xml:space="preserve">podílu Budoucího odběratele na úhradě navýšení Investice a sjednat dodatek k této Smlouvě; Přitom </w:t>
      </w:r>
      <w:r w:rsidR="00540D2F">
        <w:rPr>
          <w:rFonts w:asciiTheme="minorHAnsi" w:hAnsiTheme="minorHAnsi" w:cstheme="minorHAnsi"/>
          <w:sz w:val="20"/>
          <w:szCs w:val="20"/>
        </w:rPr>
        <w:t xml:space="preserve">v takovém případě </w:t>
      </w:r>
      <w:r w:rsidR="00703823">
        <w:rPr>
          <w:rFonts w:asciiTheme="minorHAnsi" w:hAnsiTheme="minorHAnsi" w:cstheme="minorHAnsi"/>
          <w:sz w:val="20"/>
          <w:szCs w:val="20"/>
        </w:rPr>
        <w:t xml:space="preserve">platí, že navýšení </w:t>
      </w:r>
      <w:r w:rsidR="00703823" w:rsidRPr="00A20553">
        <w:rPr>
          <w:rFonts w:asciiTheme="minorHAnsi" w:hAnsiTheme="minorHAnsi" w:cstheme="minorHAnsi"/>
          <w:sz w:val="20"/>
          <w:szCs w:val="20"/>
        </w:rPr>
        <w:t xml:space="preserve">Investice přesahující </w:t>
      </w:r>
      <w:r w:rsidR="00A20553" w:rsidRPr="00A20553">
        <w:rPr>
          <w:rFonts w:asciiTheme="minorHAnsi" w:hAnsiTheme="minorHAnsi" w:cstheme="minorHAnsi"/>
          <w:sz w:val="20"/>
          <w:szCs w:val="20"/>
        </w:rPr>
        <w:t>částku 181.000</w:t>
      </w:r>
      <w:r w:rsidR="00786C92">
        <w:rPr>
          <w:rFonts w:asciiTheme="minorHAnsi" w:hAnsiTheme="minorHAnsi" w:cstheme="minorHAnsi"/>
          <w:sz w:val="20"/>
          <w:szCs w:val="20"/>
        </w:rPr>
        <w:t xml:space="preserve"> </w:t>
      </w:r>
      <w:r w:rsidR="00A20553" w:rsidRPr="00A20553">
        <w:rPr>
          <w:rFonts w:asciiTheme="minorHAnsi" w:hAnsiTheme="minorHAnsi" w:cstheme="minorHAnsi"/>
          <w:sz w:val="20"/>
          <w:szCs w:val="20"/>
        </w:rPr>
        <w:t xml:space="preserve">Kč (jedno sto osmdesát jeden tisíc) bez DPH jde vždy k tíži TLI. </w:t>
      </w:r>
      <w:r w:rsidR="00B137DD" w:rsidRPr="007308D1">
        <w:rPr>
          <w:rFonts w:asciiTheme="minorHAnsi" w:hAnsiTheme="minorHAnsi" w:cstheme="minorHAnsi"/>
          <w:sz w:val="20"/>
          <w:szCs w:val="20"/>
        </w:rPr>
        <w:t>Dále se Smluvní strany dohodly</w:t>
      </w:r>
      <w:r w:rsidR="002741DB" w:rsidRPr="007308D1">
        <w:rPr>
          <w:rFonts w:asciiTheme="minorHAnsi" w:hAnsiTheme="minorHAnsi" w:cstheme="minorHAnsi"/>
          <w:sz w:val="20"/>
          <w:szCs w:val="20"/>
        </w:rPr>
        <w:t xml:space="preserve"> o tom</w:t>
      </w:r>
      <w:r w:rsidR="00B137DD" w:rsidRPr="007308D1">
        <w:rPr>
          <w:rFonts w:asciiTheme="minorHAnsi" w:hAnsiTheme="minorHAnsi" w:cstheme="minorHAnsi"/>
          <w:sz w:val="20"/>
          <w:szCs w:val="20"/>
        </w:rPr>
        <w:t>, že</w:t>
      </w:r>
      <w:r w:rsidR="002741DB" w:rsidRPr="007308D1">
        <w:rPr>
          <w:rFonts w:asciiTheme="minorHAnsi" w:hAnsiTheme="minorHAnsi" w:cstheme="minorHAnsi"/>
          <w:sz w:val="20"/>
          <w:szCs w:val="20"/>
        </w:rPr>
        <w:t xml:space="preserve"> do doby dokončení Investice platí veškeré náklady na vybudování Investice TLI s tím, že po jejím dokončení </w:t>
      </w:r>
      <w:r w:rsidR="00A20553" w:rsidRPr="007308D1">
        <w:rPr>
          <w:rFonts w:asciiTheme="minorHAnsi" w:hAnsiTheme="minorHAnsi" w:cstheme="minorHAnsi"/>
          <w:sz w:val="20"/>
          <w:szCs w:val="20"/>
        </w:rPr>
        <w:t xml:space="preserve">a provedení vyčíslení skutečné hodnoty Investice </w:t>
      </w:r>
      <w:r w:rsidR="006F38B8" w:rsidRPr="007308D1">
        <w:rPr>
          <w:rFonts w:asciiTheme="minorHAnsi" w:hAnsiTheme="minorHAnsi" w:cstheme="minorHAnsi"/>
          <w:sz w:val="20"/>
          <w:szCs w:val="20"/>
        </w:rPr>
        <w:t>zašle</w:t>
      </w:r>
      <w:r w:rsidR="00A20553" w:rsidRPr="007308D1">
        <w:rPr>
          <w:rFonts w:asciiTheme="minorHAnsi" w:hAnsiTheme="minorHAnsi" w:cstheme="minorHAnsi"/>
          <w:sz w:val="20"/>
          <w:szCs w:val="20"/>
        </w:rPr>
        <w:t xml:space="preserve"> TLI Budoucímu odběrateli </w:t>
      </w:r>
      <w:r w:rsidR="006F38B8" w:rsidRPr="007308D1">
        <w:rPr>
          <w:rFonts w:asciiTheme="minorHAnsi" w:hAnsiTheme="minorHAnsi" w:cstheme="minorHAnsi"/>
          <w:sz w:val="20"/>
          <w:szCs w:val="20"/>
        </w:rPr>
        <w:t xml:space="preserve">fakturu (daňový doklad), ve kterém ho vyzve o zaplacení podílu Budoucího odběratele na Investici, jak je tento podíl sjednán v tomto odstavci. </w:t>
      </w:r>
      <w:r w:rsidR="009D717B" w:rsidRPr="007308D1">
        <w:rPr>
          <w:rFonts w:asciiTheme="minorHAnsi" w:hAnsiTheme="minorHAnsi" w:cstheme="minorHAnsi"/>
          <w:sz w:val="20"/>
          <w:szCs w:val="20"/>
        </w:rPr>
        <w:t xml:space="preserve">Faktura bude mít splatnost alespoň třicet (30) dnů ode dne jejího vystavení. Budoucí odběratel se zavazuje </w:t>
      </w:r>
      <w:r w:rsidR="00C451B3" w:rsidRPr="007308D1">
        <w:rPr>
          <w:rFonts w:asciiTheme="minorHAnsi" w:hAnsiTheme="minorHAnsi" w:cstheme="minorHAnsi"/>
          <w:sz w:val="20"/>
          <w:szCs w:val="20"/>
        </w:rPr>
        <w:t xml:space="preserve">fakturou v souladu s tímto odstavcem vyúčtovaný podíl na nákladech Investice </w:t>
      </w:r>
      <w:r w:rsidR="00E25013" w:rsidRPr="007308D1">
        <w:rPr>
          <w:rFonts w:asciiTheme="minorHAnsi" w:hAnsiTheme="minorHAnsi" w:cstheme="minorHAnsi"/>
          <w:sz w:val="20"/>
          <w:szCs w:val="20"/>
        </w:rPr>
        <w:t xml:space="preserve">TLI řádně a včas uhradit. </w:t>
      </w:r>
    </w:p>
    <w:p w14:paraId="592AEBF4" w14:textId="5D02DDE9" w:rsidR="00D70EC1" w:rsidRPr="00D70EC1" w:rsidRDefault="00D70EC1" w:rsidP="005B4FEB">
      <w:pPr>
        <w:spacing w:after="120" w:line="276" w:lineRule="auto"/>
        <w:ind w:left="567"/>
        <w:rPr>
          <w:rFonts w:asciiTheme="minorHAnsi" w:hAnsiTheme="minorHAnsi" w:cstheme="minorHAnsi"/>
          <w:sz w:val="20"/>
          <w:szCs w:val="20"/>
        </w:rPr>
      </w:pPr>
      <w:r w:rsidRPr="007308D1">
        <w:rPr>
          <w:rFonts w:asciiTheme="minorHAnsi" w:hAnsiTheme="minorHAnsi" w:cstheme="minorHAnsi"/>
          <w:sz w:val="20"/>
          <w:szCs w:val="20"/>
        </w:rPr>
        <w:t xml:space="preserve">Smluvní strany se dohodly, že </w:t>
      </w:r>
      <w:r w:rsidR="00E25013" w:rsidRPr="007308D1">
        <w:rPr>
          <w:rFonts w:asciiTheme="minorHAnsi" w:hAnsiTheme="minorHAnsi" w:cstheme="minorHAnsi"/>
          <w:sz w:val="20"/>
          <w:szCs w:val="20"/>
        </w:rPr>
        <w:t>podíl TLI na</w:t>
      </w:r>
      <w:r w:rsidRPr="007308D1">
        <w:rPr>
          <w:rFonts w:asciiTheme="minorHAnsi" w:hAnsiTheme="minorHAnsi" w:cstheme="minorHAnsi"/>
          <w:sz w:val="20"/>
          <w:szCs w:val="20"/>
        </w:rPr>
        <w:t xml:space="preserve"> Investic</w:t>
      </w:r>
      <w:r w:rsidR="00E25013" w:rsidRPr="007308D1">
        <w:rPr>
          <w:rFonts w:asciiTheme="minorHAnsi" w:hAnsiTheme="minorHAnsi" w:cstheme="minorHAnsi"/>
          <w:sz w:val="20"/>
          <w:szCs w:val="20"/>
        </w:rPr>
        <w:t xml:space="preserve">i (tj. </w:t>
      </w:r>
      <w:r w:rsidR="00C637B2" w:rsidRPr="007308D1">
        <w:rPr>
          <w:rFonts w:asciiTheme="minorHAnsi" w:hAnsiTheme="minorHAnsi" w:cstheme="minorHAnsi"/>
          <w:sz w:val="20"/>
          <w:szCs w:val="20"/>
        </w:rPr>
        <w:t xml:space="preserve">skutečná výše Investice mínus Budoucím odběratelem </w:t>
      </w:r>
      <w:r w:rsidR="00A20553" w:rsidRPr="007308D1">
        <w:rPr>
          <w:rFonts w:asciiTheme="minorHAnsi" w:hAnsiTheme="minorHAnsi" w:cstheme="minorHAnsi"/>
          <w:sz w:val="20"/>
          <w:szCs w:val="20"/>
        </w:rPr>
        <w:t xml:space="preserve">v souladu s touto Smlouva </w:t>
      </w:r>
      <w:r w:rsidR="00C637B2" w:rsidRPr="007308D1">
        <w:rPr>
          <w:rFonts w:asciiTheme="minorHAnsi" w:hAnsiTheme="minorHAnsi" w:cstheme="minorHAnsi"/>
          <w:sz w:val="20"/>
          <w:szCs w:val="20"/>
        </w:rPr>
        <w:t>zaplacený podíl na Investici)</w:t>
      </w:r>
      <w:r w:rsidRPr="007308D1">
        <w:rPr>
          <w:rFonts w:asciiTheme="minorHAnsi" w:hAnsiTheme="minorHAnsi" w:cstheme="minorHAnsi"/>
          <w:sz w:val="20"/>
          <w:szCs w:val="20"/>
        </w:rPr>
        <w:t xml:space="preserve"> je základem pro výpočet dle čl. IV. odst. 2/ této </w:t>
      </w:r>
      <w:r w:rsidR="00540D2F">
        <w:rPr>
          <w:rFonts w:asciiTheme="minorHAnsi" w:hAnsiTheme="minorHAnsi" w:cstheme="minorHAnsi"/>
          <w:sz w:val="20"/>
          <w:szCs w:val="20"/>
        </w:rPr>
        <w:t>S</w:t>
      </w:r>
      <w:r w:rsidRPr="007308D1">
        <w:rPr>
          <w:rFonts w:asciiTheme="minorHAnsi" w:hAnsiTheme="minorHAnsi" w:cstheme="minorHAnsi"/>
          <w:sz w:val="20"/>
          <w:szCs w:val="20"/>
        </w:rPr>
        <w:t xml:space="preserve">mlouvy. Investice je </w:t>
      </w:r>
      <w:r w:rsidR="00A20553" w:rsidRPr="007308D1">
        <w:rPr>
          <w:rFonts w:asciiTheme="minorHAnsi" w:hAnsiTheme="minorHAnsi" w:cstheme="minorHAnsi"/>
          <w:sz w:val="20"/>
          <w:szCs w:val="20"/>
        </w:rPr>
        <w:t xml:space="preserve">a bude </w:t>
      </w:r>
      <w:r w:rsidRPr="007308D1">
        <w:rPr>
          <w:rFonts w:asciiTheme="minorHAnsi" w:hAnsiTheme="minorHAnsi" w:cstheme="minorHAnsi"/>
          <w:sz w:val="20"/>
          <w:szCs w:val="20"/>
        </w:rPr>
        <w:t xml:space="preserve">majetkem TLI. Závazný termín pro dokončení Investice je sjednán na </w:t>
      </w:r>
      <w:r w:rsidR="00C637B2" w:rsidRPr="007308D1">
        <w:rPr>
          <w:rFonts w:asciiTheme="minorHAnsi" w:hAnsiTheme="minorHAnsi" w:cstheme="minorHAnsi"/>
          <w:sz w:val="20"/>
          <w:szCs w:val="20"/>
        </w:rPr>
        <w:t>šestnáct (</w:t>
      </w:r>
      <w:r w:rsidR="00B40765" w:rsidRPr="007308D1">
        <w:rPr>
          <w:rFonts w:asciiTheme="minorHAnsi" w:hAnsiTheme="minorHAnsi" w:cstheme="minorHAnsi"/>
          <w:sz w:val="20"/>
          <w:szCs w:val="20"/>
        </w:rPr>
        <w:t>16</w:t>
      </w:r>
      <w:r w:rsidR="00C637B2" w:rsidRPr="007308D1">
        <w:rPr>
          <w:rFonts w:asciiTheme="minorHAnsi" w:hAnsiTheme="minorHAnsi" w:cstheme="minorHAnsi"/>
          <w:sz w:val="20"/>
          <w:szCs w:val="20"/>
        </w:rPr>
        <w:t>)</w:t>
      </w:r>
      <w:r w:rsidRPr="007308D1">
        <w:rPr>
          <w:rFonts w:asciiTheme="minorHAnsi" w:hAnsiTheme="minorHAnsi" w:cstheme="minorHAnsi"/>
          <w:sz w:val="20"/>
          <w:szCs w:val="20"/>
        </w:rPr>
        <w:t xml:space="preserve"> měsíců počínaje dnem podpisu této Smlouvy; Tento termín se prodlužuje o případné prodlení Budoucího odběratele nebo správních úřadů při plnění podmínek dle čl. I. odst. 5/ této Smlouvy, kdy se předpokládá, že případná rozhodnutí správních úřadů budou vydána v obvyklé lhůtě do třiceti (30) dnů</w:t>
      </w:r>
      <w:r w:rsidR="002B6D20" w:rsidRPr="007308D1">
        <w:rPr>
          <w:rFonts w:asciiTheme="minorHAnsi" w:hAnsiTheme="minorHAnsi" w:cstheme="minorHAnsi"/>
          <w:sz w:val="20"/>
          <w:szCs w:val="20"/>
        </w:rPr>
        <w:t xml:space="preserve"> (čl. I. odst. 5/ písm. b) bod c., písm. c) Smlouvy)</w:t>
      </w:r>
      <w:r w:rsidRPr="007308D1">
        <w:rPr>
          <w:rFonts w:asciiTheme="minorHAnsi" w:hAnsiTheme="minorHAnsi" w:cstheme="minorHAnsi"/>
          <w:sz w:val="20"/>
          <w:szCs w:val="20"/>
        </w:rPr>
        <w:t xml:space="preserve">, že </w:t>
      </w:r>
      <w:r w:rsidR="002B6D20" w:rsidRPr="007308D1">
        <w:rPr>
          <w:rFonts w:asciiTheme="minorHAnsi" w:hAnsiTheme="minorHAnsi" w:cstheme="minorHAnsi"/>
          <w:sz w:val="20"/>
          <w:szCs w:val="20"/>
        </w:rPr>
        <w:t xml:space="preserve">souhlas Libereckého kraje dle čl. I. odst. 5/ písm. a) bude TLI udělen před podpisem </w:t>
      </w:r>
      <w:r w:rsidR="002B6FF2" w:rsidRPr="007308D1">
        <w:rPr>
          <w:rFonts w:asciiTheme="minorHAnsi" w:hAnsiTheme="minorHAnsi" w:cstheme="minorHAnsi"/>
          <w:sz w:val="20"/>
          <w:szCs w:val="20"/>
        </w:rPr>
        <w:t xml:space="preserve">nebo </w:t>
      </w:r>
      <w:r w:rsidR="002B6D20" w:rsidRPr="007308D1">
        <w:rPr>
          <w:rFonts w:asciiTheme="minorHAnsi" w:hAnsiTheme="minorHAnsi" w:cstheme="minorHAnsi"/>
          <w:sz w:val="20"/>
          <w:szCs w:val="20"/>
        </w:rPr>
        <w:t xml:space="preserve">bezodkladně po podpisu této Smlouvy, </w:t>
      </w:r>
      <w:r w:rsidR="004C5438" w:rsidRPr="007308D1">
        <w:rPr>
          <w:rFonts w:asciiTheme="minorHAnsi" w:hAnsiTheme="minorHAnsi" w:cstheme="minorHAnsi"/>
          <w:sz w:val="20"/>
          <w:szCs w:val="20"/>
        </w:rPr>
        <w:t xml:space="preserve">že </w:t>
      </w:r>
      <w:r w:rsidR="002B6D20" w:rsidRPr="007308D1">
        <w:rPr>
          <w:rFonts w:asciiTheme="minorHAnsi" w:hAnsiTheme="minorHAnsi" w:cstheme="minorHAnsi"/>
          <w:sz w:val="20"/>
          <w:szCs w:val="20"/>
        </w:rPr>
        <w:t>Stavební připravenost</w:t>
      </w:r>
      <w:r w:rsidR="004C5438" w:rsidRPr="007308D1">
        <w:rPr>
          <w:rFonts w:asciiTheme="minorHAnsi" w:hAnsiTheme="minorHAnsi" w:cstheme="minorHAnsi"/>
          <w:sz w:val="20"/>
          <w:szCs w:val="20"/>
        </w:rPr>
        <w:t xml:space="preserve"> v rozsahu potřebné k provedení Investice bude </w:t>
      </w:r>
      <w:r w:rsidR="002B6D20" w:rsidRPr="007308D1">
        <w:rPr>
          <w:rFonts w:asciiTheme="minorHAnsi" w:hAnsiTheme="minorHAnsi" w:cstheme="minorHAnsi"/>
          <w:sz w:val="20"/>
          <w:szCs w:val="20"/>
        </w:rPr>
        <w:t>zajištěna</w:t>
      </w:r>
      <w:r w:rsidRPr="007308D1">
        <w:rPr>
          <w:rFonts w:asciiTheme="minorHAnsi" w:hAnsiTheme="minorHAnsi" w:cstheme="minorHAnsi"/>
          <w:sz w:val="20"/>
          <w:szCs w:val="20"/>
        </w:rPr>
        <w:t xml:space="preserve"> </w:t>
      </w:r>
      <w:r w:rsidR="004C5438" w:rsidRPr="007308D1">
        <w:rPr>
          <w:rFonts w:asciiTheme="minorHAnsi" w:hAnsiTheme="minorHAnsi" w:cstheme="minorHAnsi"/>
          <w:sz w:val="20"/>
          <w:szCs w:val="20"/>
        </w:rPr>
        <w:t xml:space="preserve">bezodkladně po podpisu této Smlouvy </w:t>
      </w:r>
      <w:r w:rsidRPr="007308D1">
        <w:rPr>
          <w:rFonts w:asciiTheme="minorHAnsi" w:hAnsiTheme="minorHAnsi" w:cstheme="minorHAnsi"/>
          <w:sz w:val="20"/>
          <w:szCs w:val="20"/>
        </w:rPr>
        <w:t>(čl. I. odst. 5/ písm. b) bod a. této Smlouvy)</w:t>
      </w:r>
      <w:r w:rsidR="004C5438" w:rsidRPr="007308D1">
        <w:rPr>
          <w:rFonts w:asciiTheme="minorHAnsi" w:hAnsiTheme="minorHAnsi" w:cstheme="minorHAnsi"/>
          <w:sz w:val="20"/>
          <w:szCs w:val="20"/>
        </w:rPr>
        <w:t xml:space="preserve">, že splnění dalších podmínek dle čl. I. odst. 5/ písm. b) bod b. bude zajištěno ze strany Budoucího odběratele bezodkladě po vydání případného stavebního povolení či jiného jemu na roveň postaveného rozhodnutí. Zahájení běhu lhůty pro provedení a dokončení Investice </w:t>
      </w:r>
      <w:r w:rsidRPr="007308D1">
        <w:rPr>
          <w:rFonts w:asciiTheme="minorHAnsi" w:hAnsiTheme="minorHAnsi" w:cstheme="minorHAnsi"/>
          <w:sz w:val="20"/>
          <w:szCs w:val="20"/>
        </w:rPr>
        <w:t xml:space="preserve">je podmíněno splněním podmínky dle čl. I. odst. 5/ písm. d) této Smlouvy. Nedojde-li k dokončení Investice, která byla započata, z důvodu, který je dán na straně Budoucího odběratele, a vznikne-li potřeba výpočtu dle čl. IV. odst. 2/ této Smlouvy, použije se </w:t>
      </w:r>
      <w:r w:rsidRPr="007308D1">
        <w:rPr>
          <w:rFonts w:asciiTheme="minorHAnsi" w:hAnsiTheme="minorHAnsi" w:cstheme="minorHAnsi"/>
          <w:sz w:val="20"/>
          <w:szCs w:val="20"/>
        </w:rPr>
        <w:lastRenderedPageBreak/>
        <w:t>pro výpočet hodnoty Investice peněžní ocenění skutečných nákladů vydaných ze strany TLI na Investici a nebude-li toto ocenění možné realizovat nebo bude-li možné realizovat je s velkými obtížemi, pak Smluvní strany sjednaly, že se pro výpočet užije předpokládaná hodnota Investice uvedená v tomto odstavci tohoto článku Smlouvy</w:t>
      </w:r>
      <w:r w:rsidR="00786C92">
        <w:rPr>
          <w:rFonts w:asciiTheme="minorHAnsi" w:hAnsiTheme="minorHAnsi" w:cstheme="minorHAnsi"/>
          <w:sz w:val="20"/>
          <w:szCs w:val="20"/>
        </w:rPr>
        <w:t>.</w:t>
      </w:r>
    </w:p>
    <w:p w14:paraId="5EAAC91A" w14:textId="0EC65982"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6/</w:t>
      </w:r>
      <w:r w:rsidRPr="00D70EC1">
        <w:rPr>
          <w:rFonts w:asciiTheme="minorHAnsi" w:hAnsiTheme="minorHAnsi" w:cstheme="minorHAnsi"/>
          <w:sz w:val="20"/>
          <w:szCs w:val="20"/>
        </w:rPr>
        <w:tab/>
        <w:t>Budoucí odběratel se zavazuje splnit (zajistit) podmínky pro realizaci Investice dle čl. I. odst. 5/ písm. b) této Smlouvy, a to na svůj náklad, a to ve lhůtě uvedené v předcházejícím odstavci tohoto článku Smlouvy</w:t>
      </w:r>
      <w:r w:rsidR="004C5438">
        <w:rPr>
          <w:rFonts w:asciiTheme="minorHAnsi" w:hAnsiTheme="minorHAnsi" w:cstheme="minorHAnsi"/>
          <w:sz w:val="20"/>
          <w:szCs w:val="20"/>
        </w:rPr>
        <w:t>, a dále se zavazuje poskytnout TLI potřebnou součinnost dle čl. I. odst. 5/ písm. d) této Smlouvy.</w:t>
      </w:r>
    </w:p>
    <w:p w14:paraId="58F1E600"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7/</w:t>
      </w:r>
      <w:r w:rsidRPr="00D70EC1">
        <w:rPr>
          <w:rFonts w:asciiTheme="minorHAnsi" w:hAnsiTheme="minorHAnsi" w:cstheme="minorHAnsi"/>
          <w:sz w:val="20"/>
          <w:szCs w:val="20"/>
        </w:rPr>
        <w:tab/>
        <w:t>Budoucí odběratel se zavazuje při splnění závazku TLI dle odst. 5/ tohoto článku Smlouvy, že bude v Budoucím odběrném místě odebírat po sjednanou dobu určitou (čl. II. odst. 1/, odst. 2/ této Smlouvy) trvale tepelnou energii a že odebere tepelnou energii nejméně v Minimálním množství, a to na základě Smlouvy o dodávce.</w:t>
      </w:r>
    </w:p>
    <w:p w14:paraId="53117BFE"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8/</w:t>
      </w:r>
      <w:r w:rsidRPr="00D70EC1">
        <w:rPr>
          <w:rFonts w:asciiTheme="minorHAnsi" w:hAnsiTheme="minorHAnsi" w:cstheme="minorHAnsi"/>
          <w:sz w:val="20"/>
          <w:szCs w:val="20"/>
        </w:rPr>
        <w:tab/>
        <w:t xml:space="preserve">Smlouva o dodávce (včetně příloh) bude uzavřena po dokončení Investice specifikované v čl. I. odst. 4/ této Smlouvy a při splnění podmínky kolaudace Investice a kolaudace stavebních úprav Odběrného místa, bude-li vyžadována. </w:t>
      </w:r>
    </w:p>
    <w:p w14:paraId="60CEB1FD" w14:textId="6A647F0E"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 xml:space="preserve">9/ </w:t>
      </w:r>
      <w:r w:rsidRPr="00D70EC1">
        <w:rPr>
          <w:rFonts w:asciiTheme="minorHAnsi" w:hAnsiTheme="minorHAnsi" w:cstheme="minorHAnsi"/>
          <w:sz w:val="20"/>
          <w:szCs w:val="20"/>
        </w:rPr>
        <w:tab/>
        <w:t>TLI vyzve Budoucího odběratele k uzavření Smlouvy o dodávce společně se zasláním návrhu Smlouvy o dodávce ve lhůtě do třiceti (30) dnů po dokončení Investice, nejpozději však do deseti (1</w:t>
      </w:r>
      <w:r w:rsidR="004C5438">
        <w:rPr>
          <w:rFonts w:asciiTheme="minorHAnsi" w:hAnsiTheme="minorHAnsi" w:cstheme="minorHAnsi"/>
          <w:sz w:val="20"/>
          <w:szCs w:val="20"/>
        </w:rPr>
        <w:t>0</w:t>
      </w:r>
      <w:r w:rsidRPr="00D70EC1">
        <w:rPr>
          <w:rFonts w:asciiTheme="minorHAnsi" w:hAnsiTheme="minorHAnsi" w:cstheme="minorHAnsi"/>
          <w:sz w:val="20"/>
          <w:szCs w:val="20"/>
        </w:rPr>
        <w:t xml:space="preserve">) dnů před termínem zahájení dodávky tepelné energie do Budoucího odběrného místa. Návrh Smlouvy o dodávce včetně příloh </w:t>
      </w:r>
      <w:r w:rsidRPr="00EA1F3B">
        <w:rPr>
          <w:rFonts w:asciiTheme="minorHAnsi" w:hAnsiTheme="minorHAnsi" w:cstheme="minorHAnsi"/>
          <w:sz w:val="20"/>
          <w:szCs w:val="20"/>
        </w:rPr>
        <w:t>tvoří přílohu</w:t>
      </w:r>
      <w:r w:rsidRPr="00D70EC1">
        <w:rPr>
          <w:rFonts w:asciiTheme="minorHAnsi" w:hAnsiTheme="minorHAnsi" w:cstheme="minorHAnsi"/>
          <w:sz w:val="20"/>
          <w:szCs w:val="20"/>
        </w:rPr>
        <w:t xml:space="preserve"> této Smlouvy. Smluvní strany se dohodly, že TLI doplní v návrhu Smlouvy o dodávce chybějící údaje, které se týkají zejména technického charakteru, pokud se týká SZTE, příp. Budoucího odběrného místa a dále upravený dle skutečnosti v době předložení návrhu Smlouvy o dodávce ze strany TLI Budoucímu odběrateli (zejména se tak bude jednat o aktuální identifikační údaje stran a dále pak veškeré údaje uvedené v § 76 odst. 3, písm. a), b), c) a d) energetického zákona podle jejich aktuálního stavu). Cena tepelné energie bude stanovena jako cena platná v době uzavření Smlouvy o dodávce pro ostatní odběratele (na stejné úrovni předání a shodných připojovacích podmínek) a zároveň platná ke dni zahájení dodávky tepelné energie, kdy tato cena musí být sjednána v souladu s příslušnými cenovými rozhodnutími Energetického regulačního úřadu, resp. v souladu se zákonem o cenách.</w:t>
      </w:r>
    </w:p>
    <w:p w14:paraId="748F1445" w14:textId="77777777" w:rsidR="00D70EC1" w:rsidRPr="00D70EC1" w:rsidRDefault="00D70EC1" w:rsidP="00D70EC1">
      <w:pPr>
        <w:ind w:left="567" w:hanging="567"/>
        <w:rPr>
          <w:rFonts w:asciiTheme="minorHAnsi" w:hAnsiTheme="minorHAnsi" w:cstheme="minorHAnsi"/>
          <w:sz w:val="20"/>
          <w:szCs w:val="20"/>
        </w:rPr>
      </w:pPr>
      <w:r w:rsidRPr="00D70EC1">
        <w:rPr>
          <w:rFonts w:asciiTheme="minorHAnsi" w:hAnsiTheme="minorHAnsi" w:cstheme="minorHAnsi"/>
          <w:sz w:val="20"/>
          <w:szCs w:val="20"/>
        </w:rPr>
        <w:t xml:space="preserve">10/ </w:t>
      </w:r>
      <w:r w:rsidRPr="00D70EC1">
        <w:rPr>
          <w:rFonts w:asciiTheme="minorHAnsi" w:hAnsiTheme="minorHAnsi" w:cstheme="minorHAnsi"/>
          <w:sz w:val="20"/>
          <w:szCs w:val="20"/>
        </w:rPr>
        <w:tab/>
        <w:t xml:space="preserve">Budoucí odběratel se zavazuje, že Smlouvu o dodávce uzavře nejpozději ve lhůtě do osmi (8) dnů ode dne doručení výzvy. Návrh Smlouvy o dodávce bude doručen na adresu sídla Budoucího odběratele zapsanou ve veřejném rejstříku. Není-li sídlo Budoucího odběratele ve veřejném rejstříku zapsáno, bude návrh doručen na adresu uvedenou v záhlaví této Smlouvy. </w:t>
      </w:r>
    </w:p>
    <w:p w14:paraId="30098158" w14:textId="77777777" w:rsidR="00D70EC1" w:rsidRPr="00D70EC1" w:rsidRDefault="00D70EC1" w:rsidP="00D70EC1">
      <w:pPr>
        <w:ind w:left="567" w:hanging="567"/>
        <w:rPr>
          <w:rFonts w:asciiTheme="minorHAnsi" w:hAnsiTheme="minorHAnsi" w:cstheme="minorHAnsi"/>
          <w:sz w:val="20"/>
          <w:szCs w:val="20"/>
        </w:rPr>
      </w:pPr>
      <w:bookmarkStart w:id="2" w:name="ClanekII_ods4"/>
      <w:bookmarkEnd w:id="2"/>
      <w:r w:rsidRPr="00D70EC1">
        <w:rPr>
          <w:rFonts w:asciiTheme="minorHAnsi" w:hAnsiTheme="minorHAnsi" w:cstheme="minorHAnsi"/>
          <w:sz w:val="20"/>
          <w:szCs w:val="20"/>
        </w:rPr>
        <w:t xml:space="preserve">11/ </w:t>
      </w:r>
      <w:r w:rsidRPr="00D70EC1">
        <w:rPr>
          <w:rFonts w:asciiTheme="minorHAnsi" w:hAnsiTheme="minorHAnsi" w:cstheme="minorHAnsi"/>
          <w:sz w:val="20"/>
          <w:szCs w:val="20"/>
        </w:rPr>
        <w:tab/>
        <w:t>Zaslání návrhu Smlouvy o dodávce se považuje za výzvu k uzavření Smlouvy o dodávce tepelné energie. V případě, že na základě včasné a řádné výzvy TLI Budoucí odběratel neuzavře ve sjednaném termínu Smlouvu o dodávce, je TLI oprávněna od této Smlouvy odstoupit (ustanovení § 1787 občanského zákoníku tím není dotčeno). Odstoupení musí být učiněno písemně a doručeno na adresu Budoucího odběratele. Odstoupení je účinné okamžikem doručení. Tímto odstoupením od Smlouvy není dotčeno právo TLI na náhradu škody či právo na úhradu smluvních sankcí, které jsou sjednány v této Smlouvě. Náhrada škody kromě již marně vynaložených nákladů TLI na Investici a na budoucí dodávky tepelné energie zahrnuje i další škodu související s dodatečnými výdaji TLI, včetně výdajů personálních či včetně ušlého zisku TLI.</w:t>
      </w:r>
    </w:p>
    <w:p w14:paraId="77B3E48F" w14:textId="77777777" w:rsidR="00D70EC1" w:rsidRPr="00D70EC1" w:rsidRDefault="00D70EC1" w:rsidP="00D70EC1">
      <w:pPr>
        <w:ind w:left="567" w:hanging="567"/>
        <w:rPr>
          <w:rFonts w:asciiTheme="minorHAnsi" w:hAnsiTheme="minorHAnsi" w:cstheme="minorHAnsi"/>
          <w:sz w:val="20"/>
          <w:szCs w:val="20"/>
        </w:rPr>
      </w:pPr>
      <w:r w:rsidRPr="00D70EC1">
        <w:rPr>
          <w:rFonts w:asciiTheme="minorHAnsi" w:hAnsiTheme="minorHAnsi" w:cstheme="minorHAnsi"/>
          <w:sz w:val="20"/>
          <w:szCs w:val="20"/>
        </w:rPr>
        <w:lastRenderedPageBreak/>
        <w:t>12/</w:t>
      </w:r>
      <w:r w:rsidRPr="00D70EC1">
        <w:rPr>
          <w:rFonts w:asciiTheme="minorHAnsi" w:hAnsiTheme="minorHAnsi" w:cstheme="minorHAnsi"/>
          <w:sz w:val="20"/>
          <w:szCs w:val="20"/>
        </w:rPr>
        <w:tab/>
        <w:t xml:space="preserve">Budoucí odběratel se zavazuje vytvořit předpoklady k odběru tepelné energie a uzavření Smlouvy o dodávce, zejména tím, že umožní započetí odběru tepelné energie v souladu s návrhem TLI; ke splnění této povinnosti je povinen zejména zajistit, aby jeho odběrné tepelné zařízení bylo způsobilé ve smyslu zákona č. 458/2000 Sb., energetický zákon, k odběru tepelné energie, aby zaručovalo bezpečný provoz. </w:t>
      </w:r>
    </w:p>
    <w:p w14:paraId="4B5428C0" w14:textId="2C6B2A15" w:rsidR="00D70EC1" w:rsidRPr="00D70EC1" w:rsidRDefault="00D70EC1" w:rsidP="00D70EC1">
      <w:pPr>
        <w:ind w:left="567" w:hanging="567"/>
        <w:rPr>
          <w:rFonts w:asciiTheme="minorHAnsi" w:hAnsiTheme="minorHAnsi" w:cstheme="minorHAnsi"/>
          <w:sz w:val="20"/>
          <w:szCs w:val="20"/>
        </w:rPr>
      </w:pPr>
      <w:r w:rsidRPr="00D70EC1">
        <w:rPr>
          <w:rFonts w:asciiTheme="minorHAnsi" w:hAnsiTheme="minorHAnsi" w:cstheme="minorHAnsi"/>
          <w:sz w:val="20"/>
          <w:szCs w:val="20"/>
        </w:rPr>
        <w:t>13/</w:t>
      </w:r>
      <w:r w:rsidRPr="00D70EC1">
        <w:rPr>
          <w:rFonts w:asciiTheme="minorHAnsi" w:hAnsiTheme="minorHAnsi" w:cstheme="minorHAnsi"/>
          <w:sz w:val="20"/>
          <w:szCs w:val="20"/>
        </w:rPr>
        <w:tab/>
        <w:t xml:space="preserve">Budoucí odběratel se zavazuje strpět a zajistit (umožnit) TLI nerušený nepřetržitý přístup k Investici vybudované TLI dle této Smlouvy bez omezení (týká se přístupu k přípojce pro potřeby případné opravy, přístupu do objektu do prostoru umístění stanice, přístupu k fakturačnímu kalorimetru pro měření tepla na patě objektu). </w:t>
      </w:r>
    </w:p>
    <w:p w14:paraId="76AC2FAE" w14:textId="77777777" w:rsidR="00D70EC1" w:rsidRPr="00D70EC1" w:rsidRDefault="00D70EC1" w:rsidP="00D70EC1">
      <w:pPr>
        <w:ind w:left="567" w:hanging="567"/>
        <w:rPr>
          <w:rFonts w:asciiTheme="minorHAnsi" w:hAnsiTheme="minorHAnsi" w:cstheme="minorHAnsi"/>
          <w:sz w:val="20"/>
          <w:szCs w:val="20"/>
        </w:rPr>
      </w:pPr>
      <w:r w:rsidRPr="00D70EC1">
        <w:rPr>
          <w:rFonts w:asciiTheme="minorHAnsi" w:hAnsiTheme="minorHAnsi" w:cstheme="minorHAnsi"/>
          <w:sz w:val="20"/>
          <w:szCs w:val="20"/>
        </w:rPr>
        <w:t>14/</w:t>
      </w:r>
      <w:r w:rsidRPr="00D70EC1">
        <w:rPr>
          <w:rFonts w:asciiTheme="minorHAnsi" w:hAnsiTheme="minorHAnsi" w:cstheme="minorHAnsi"/>
          <w:sz w:val="20"/>
          <w:szCs w:val="20"/>
        </w:rPr>
        <w:tab/>
      </w:r>
      <w:r w:rsidRPr="001D36D1">
        <w:rPr>
          <w:rFonts w:asciiTheme="minorHAnsi" w:hAnsiTheme="minorHAnsi" w:cstheme="minorHAnsi"/>
          <w:sz w:val="20"/>
          <w:szCs w:val="20"/>
        </w:rPr>
        <w:t>Pokud překážky na straně Budoucího odběratele neumožní uzavření Smlouvy o dodávce do dvaceti čtyřech (24) měsíců od podpisu této Smlouvy (</w:t>
      </w:r>
      <w:r w:rsidRPr="00D70EC1">
        <w:rPr>
          <w:rFonts w:asciiTheme="minorHAnsi" w:hAnsiTheme="minorHAnsi" w:cstheme="minorHAnsi"/>
          <w:sz w:val="20"/>
          <w:szCs w:val="20"/>
        </w:rPr>
        <w:t>smlouvy o smlouvě budoucí kupní), bude se postupovat obdobně jako v čl. IV., odst.2/ Smlouvy. TLI je oprávněna v takovém případě od Smlouvy odstoupit. Za překážky na straně Budoucího odběratele se považují zejména případy, kdy Budoucí odběratel nesplní ve stanovené lhůtě svou povinnost dle odst. 6/ tohoto článku Smlouvy.</w:t>
      </w:r>
    </w:p>
    <w:p w14:paraId="46AE0F8F" w14:textId="620E2BA9" w:rsidR="00D70EC1" w:rsidRPr="00D70EC1" w:rsidRDefault="00D70EC1" w:rsidP="00D70EC1">
      <w:pPr>
        <w:ind w:left="567" w:hanging="567"/>
        <w:rPr>
          <w:rFonts w:asciiTheme="minorHAnsi" w:hAnsiTheme="minorHAnsi" w:cstheme="minorHAnsi"/>
          <w:sz w:val="20"/>
          <w:szCs w:val="20"/>
        </w:rPr>
      </w:pPr>
      <w:r w:rsidRPr="00D70EC1">
        <w:rPr>
          <w:rFonts w:asciiTheme="minorHAnsi" w:hAnsiTheme="minorHAnsi" w:cstheme="minorHAnsi"/>
          <w:sz w:val="20"/>
          <w:szCs w:val="20"/>
        </w:rPr>
        <w:t>15/</w:t>
      </w:r>
      <w:r w:rsidRPr="00D70EC1">
        <w:rPr>
          <w:rFonts w:asciiTheme="minorHAnsi" w:hAnsiTheme="minorHAnsi" w:cstheme="minorHAnsi"/>
          <w:sz w:val="20"/>
          <w:szCs w:val="20"/>
        </w:rPr>
        <w:tab/>
        <w:t xml:space="preserve">TLI je oprávněna od této Smlouvy odstoupit v případě, že </w:t>
      </w:r>
      <w:r w:rsidR="00C75BD4" w:rsidRPr="00C75BD4">
        <w:rPr>
          <w:rFonts w:asciiTheme="minorHAnsi" w:hAnsiTheme="minorHAnsi" w:cstheme="minorHAnsi"/>
          <w:sz w:val="20"/>
          <w:szCs w:val="20"/>
        </w:rPr>
        <w:t>Liberecký kraj</w:t>
      </w:r>
      <w:r w:rsidRPr="00C75BD4">
        <w:rPr>
          <w:rFonts w:asciiTheme="minorHAnsi" w:hAnsiTheme="minorHAnsi" w:cstheme="minorHAnsi"/>
          <w:sz w:val="20"/>
          <w:szCs w:val="20"/>
        </w:rPr>
        <w:t xml:space="preserve"> neudělí </w:t>
      </w:r>
      <w:r w:rsidRPr="00C75BD4">
        <w:rPr>
          <w:rFonts w:asciiTheme="minorHAnsi" w:hAnsiTheme="minorHAnsi" w:cstheme="minorHAnsi"/>
          <w:b/>
          <w:sz w:val="20"/>
          <w:szCs w:val="20"/>
        </w:rPr>
        <w:t>souhlas ke zřízení (umístění)</w:t>
      </w:r>
      <w:r w:rsidR="00BB6EA5">
        <w:rPr>
          <w:rFonts w:asciiTheme="minorHAnsi" w:hAnsiTheme="minorHAnsi" w:cstheme="minorHAnsi"/>
          <w:b/>
          <w:sz w:val="20"/>
          <w:szCs w:val="20"/>
        </w:rPr>
        <w:t xml:space="preserve"> a provozu</w:t>
      </w:r>
      <w:r w:rsidRPr="00C75BD4">
        <w:rPr>
          <w:rFonts w:asciiTheme="minorHAnsi" w:hAnsiTheme="minorHAnsi" w:cstheme="minorHAnsi"/>
          <w:b/>
          <w:sz w:val="20"/>
          <w:szCs w:val="20"/>
        </w:rPr>
        <w:t xml:space="preserve"> přípojky</w:t>
      </w:r>
      <w:r w:rsidRPr="00C75BD4">
        <w:rPr>
          <w:rFonts w:asciiTheme="minorHAnsi" w:hAnsiTheme="minorHAnsi" w:cstheme="minorHAnsi"/>
          <w:sz w:val="20"/>
          <w:szCs w:val="20"/>
        </w:rPr>
        <w:t xml:space="preserve"> na Nemovitostech</w:t>
      </w:r>
      <w:r w:rsidR="00BB6EA5">
        <w:rPr>
          <w:rFonts w:asciiTheme="minorHAnsi" w:hAnsiTheme="minorHAnsi" w:cstheme="minorHAnsi"/>
          <w:sz w:val="20"/>
          <w:szCs w:val="20"/>
        </w:rPr>
        <w:t xml:space="preserve"> nebo v případě, že S</w:t>
      </w:r>
      <w:r w:rsidR="00EA1F3B">
        <w:rPr>
          <w:rFonts w:asciiTheme="minorHAnsi" w:hAnsiTheme="minorHAnsi" w:cstheme="minorHAnsi"/>
          <w:sz w:val="20"/>
          <w:szCs w:val="20"/>
        </w:rPr>
        <w:t>tatutární město Liberec</w:t>
      </w:r>
      <w:r w:rsidR="00BB6EA5">
        <w:rPr>
          <w:rFonts w:asciiTheme="minorHAnsi" w:hAnsiTheme="minorHAnsi" w:cstheme="minorHAnsi"/>
          <w:sz w:val="20"/>
          <w:szCs w:val="20"/>
        </w:rPr>
        <w:t xml:space="preserve"> neudělí souhlas dle čl. I. odst. 5/ písm. d) této Smlouvy, ani ve lhůtě </w:t>
      </w:r>
      <w:r w:rsidR="00BB6EA5" w:rsidRPr="00AA026A">
        <w:rPr>
          <w:rFonts w:asciiTheme="minorHAnsi" w:hAnsiTheme="minorHAnsi" w:cstheme="minorHAnsi"/>
          <w:sz w:val="20"/>
          <w:szCs w:val="20"/>
        </w:rPr>
        <w:t>do deseti (10) měsíců</w:t>
      </w:r>
      <w:r w:rsidR="00BB6EA5">
        <w:rPr>
          <w:rFonts w:asciiTheme="minorHAnsi" w:hAnsiTheme="minorHAnsi" w:cstheme="minorHAnsi"/>
          <w:sz w:val="20"/>
          <w:szCs w:val="20"/>
        </w:rPr>
        <w:t xml:space="preserve"> od podpisu této Smlouvy</w:t>
      </w:r>
      <w:r w:rsidRPr="00C75BD4">
        <w:rPr>
          <w:rFonts w:asciiTheme="minorHAnsi" w:hAnsiTheme="minorHAnsi" w:cstheme="minorHAnsi"/>
          <w:sz w:val="20"/>
          <w:szCs w:val="20"/>
        </w:rPr>
        <w:t>.</w:t>
      </w:r>
      <w:r w:rsidRPr="00D70EC1">
        <w:rPr>
          <w:rFonts w:asciiTheme="minorHAnsi" w:hAnsiTheme="minorHAnsi" w:cstheme="minorHAnsi"/>
          <w:sz w:val="20"/>
          <w:szCs w:val="20"/>
        </w:rPr>
        <w:t xml:space="preserve"> Smluvní strany zároveň pro odstranění pochybností sjednaly, že TLI v takovém případě neodpovídá za případné škody či náklady, které Budoucímu odběrateli vznikly. </w:t>
      </w:r>
    </w:p>
    <w:p w14:paraId="1E97C9C7" w14:textId="77777777" w:rsidR="00D70EC1" w:rsidRPr="00D70EC1" w:rsidRDefault="00D70EC1" w:rsidP="00D70EC1">
      <w:pPr>
        <w:ind w:left="567" w:hanging="567"/>
        <w:rPr>
          <w:rFonts w:asciiTheme="minorHAnsi" w:hAnsiTheme="minorHAnsi" w:cstheme="minorHAnsi"/>
          <w:sz w:val="20"/>
          <w:szCs w:val="20"/>
        </w:rPr>
      </w:pPr>
      <w:r w:rsidRPr="00D70EC1">
        <w:rPr>
          <w:rFonts w:asciiTheme="minorHAnsi" w:hAnsiTheme="minorHAnsi" w:cstheme="minorHAnsi"/>
          <w:sz w:val="20"/>
          <w:szCs w:val="20"/>
        </w:rPr>
        <w:t>16/</w:t>
      </w:r>
      <w:r w:rsidRPr="00D70EC1">
        <w:rPr>
          <w:rFonts w:asciiTheme="minorHAnsi" w:hAnsiTheme="minorHAnsi" w:cstheme="minorHAnsi"/>
          <w:sz w:val="20"/>
          <w:szCs w:val="20"/>
        </w:rPr>
        <w:tab/>
        <w:t>Ujednání odstavců 9/, 10/, 11/ tohoto článku Smlouvy se použijí přiměřeně v případě, že TLI bude bezdůvodně bránit uzavření Smlouvy o dodávce nebo bude nečinná při jejím uzavírání; V takovém případě je v těchto ujednáních označená právní jednání oprávněn činit Budoucí odběratel.</w:t>
      </w:r>
    </w:p>
    <w:p w14:paraId="0E4D62A5" w14:textId="77777777" w:rsidR="001D36D1" w:rsidRDefault="001D36D1" w:rsidP="00D70EC1">
      <w:pPr>
        <w:spacing w:after="120" w:line="240" w:lineRule="auto"/>
        <w:ind w:left="567" w:hanging="567"/>
        <w:jc w:val="center"/>
        <w:rPr>
          <w:rFonts w:asciiTheme="minorHAnsi" w:hAnsiTheme="minorHAnsi" w:cstheme="minorHAnsi"/>
          <w:b/>
          <w:sz w:val="20"/>
          <w:szCs w:val="20"/>
        </w:rPr>
      </w:pPr>
      <w:bookmarkStart w:id="3" w:name="_Ref295378890"/>
    </w:p>
    <w:p w14:paraId="792E5A18" w14:textId="3BA399BB" w:rsidR="00D70EC1" w:rsidRPr="00D70EC1" w:rsidRDefault="00D70EC1" w:rsidP="00D70EC1">
      <w:pPr>
        <w:spacing w:after="120" w:line="240" w:lineRule="auto"/>
        <w:ind w:left="567" w:hanging="567"/>
        <w:jc w:val="center"/>
        <w:rPr>
          <w:rFonts w:asciiTheme="minorHAnsi" w:hAnsiTheme="minorHAnsi" w:cstheme="minorHAnsi"/>
          <w:b/>
          <w:sz w:val="20"/>
          <w:szCs w:val="20"/>
        </w:rPr>
      </w:pPr>
      <w:r w:rsidRPr="00D70EC1">
        <w:rPr>
          <w:rFonts w:asciiTheme="minorHAnsi" w:hAnsiTheme="minorHAnsi" w:cstheme="minorHAnsi"/>
          <w:b/>
          <w:sz w:val="20"/>
          <w:szCs w:val="20"/>
        </w:rPr>
        <w:t>III. Ostatní ujednání</w:t>
      </w:r>
    </w:p>
    <w:p w14:paraId="0243556A" w14:textId="0BDE00CC"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 xml:space="preserve">1/ </w:t>
      </w:r>
      <w:r w:rsidRPr="00D70EC1">
        <w:rPr>
          <w:rFonts w:asciiTheme="minorHAnsi" w:hAnsiTheme="minorHAnsi" w:cstheme="minorHAnsi"/>
          <w:sz w:val="20"/>
          <w:szCs w:val="20"/>
        </w:rPr>
        <w:tab/>
        <w:t>V případě, že by do dne uzavření Smlouvy o dodávce mělo dojít z jakéhokoli důvodu ke změně v subjektu Budoucího odběratele (bez ohledu na to, zda v důsledku prodeje či z jiného důvodu), zavazuje se Budoucí odběratel tuto změnu (resp. její záměr) písemně oznámit TLI, a to ihned poté, co se Budoucí odběratel o záměru takovéto změny dozví. Pro vyloučení jakýchkoliv pochybností se sjednává, že na právního nástupce Budoucího odběratele automaticky přechází práva a povinnosti z této Smlouvy. V případě, že Budoucí odběratel bude mít v úmyslu převést vlastnické právo k Budoucímu odběrnému místu, odběrnému tepelnému zařízení, objektové předávací stanici či jinému zařízení, které je nutné k dodávce tepelné energie, je-li jeho vlastnictvím, na třetí osobu nebo je přenechat třetí osobě k užívání, je povinen předem zajistit převod práv a povinností plynoucích z této Smlouvy a/nebo ze Smlouvy o dodávce na tuto třetí osobu a vyžádat si k takovémuto převodu práv a povinností předchozí písemný souhlas TLI (shodně platí i pro případě určení nového subjektu, které bude zajišťovat správu či hospodaření s majetkem Budoucího Odběratele). Neučiní-li tak nebo nedá-li TLI svůj souhlas, odpovídá Budoucí odběratel TLI za veškeré škody vzniklé v důsledku porušení této povinnosti, včetně ušlého zisku z důvodu případného omezení dodávek tepelné energie a skutečných škod v</w:t>
      </w:r>
      <w:r w:rsidR="00E95394">
        <w:rPr>
          <w:rFonts w:asciiTheme="minorHAnsi" w:hAnsiTheme="minorHAnsi" w:cstheme="minorHAnsi"/>
          <w:sz w:val="20"/>
          <w:szCs w:val="20"/>
        </w:rPr>
        <w:t>z</w:t>
      </w:r>
      <w:r w:rsidRPr="00D70EC1">
        <w:rPr>
          <w:rFonts w:asciiTheme="minorHAnsi" w:hAnsiTheme="minorHAnsi" w:cstheme="minorHAnsi"/>
          <w:sz w:val="20"/>
          <w:szCs w:val="20"/>
        </w:rPr>
        <w:t xml:space="preserve">niklých v důsledku zmařené či ohrožené investice. </w:t>
      </w:r>
    </w:p>
    <w:p w14:paraId="6C307F60"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lastRenderedPageBreak/>
        <w:t>2/</w:t>
      </w:r>
      <w:r w:rsidRPr="00D70EC1">
        <w:rPr>
          <w:rFonts w:asciiTheme="minorHAnsi" w:hAnsiTheme="minorHAnsi" w:cstheme="minorHAnsi"/>
          <w:sz w:val="20"/>
          <w:szCs w:val="20"/>
        </w:rPr>
        <w:tab/>
        <w:t>Obě smluvní strany se dohodly, že škodou jsou ve smyslu této Smlouvy chápány všechny náklady a výdaje, které poškozená Smluvní strana vynaložila k tomu, aby zajistila ze své strany naplnění předmětu této Smlouvy, včetně případného ušlého zisku.</w:t>
      </w:r>
    </w:p>
    <w:p w14:paraId="1B9364BD" w14:textId="77777777" w:rsidR="00D70EC1" w:rsidRPr="00D70EC1" w:rsidRDefault="00D70EC1" w:rsidP="00D70EC1">
      <w:pPr>
        <w:tabs>
          <w:tab w:val="num" w:pos="360"/>
        </w:tabs>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3/</w:t>
      </w:r>
      <w:r w:rsidRPr="00D70EC1">
        <w:rPr>
          <w:rFonts w:asciiTheme="minorHAnsi" w:hAnsiTheme="minorHAnsi" w:cstheme="minorHAnsi"/>
          <w:sz w:val="20"/>
          <w:szCs w:val="20"/>
        </w:rPr>
        <w:tab/>
      </w:r>
      <w:bookmarkEnd w:id="3"/>
      <w:r w:rsidRPr="00D70EC1">
        <w:rPr>
          <w:rFonts w:asciiTheme="minorHAnsi" w:hAnsiTheme="minorHAnsi" w:cstheme="minorHAnsi"/>
          <w:sz w:val="20"/>
          <w:szCs w:val="20"/>
        </w:rPr>
        <w:tab/>
        <w:t>Smluvní strany jsou oprávněny od této Smlouvy odstoupit pouze v případě, že druhá Smluvní strana poruší tuto Smlouvu podstatným způsobem. Odstoupení od této Smlouvy je krajním řešením a Smluvní strany se zavazují, že budou preferovat vždy smírné řešení, jakož i poskytnutí lhůty k náhradnímu plnění.</w:t>
      </w:r>
    </w:p>
    <w:p w14:paraId="008C6F92" w14:textId="77777777" w:rsidR="00D70EC1" w:rsidRPr="00D70EC1" w:rsidRDefault="00D70EC1" w:rsidP="00D70EC1">
      <w:pPr>
        <w:tabs>
          <w:tab w:val="num" w:pos="360"/>
        </w:tabs>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4/</w:t>
      </w:r>
      <w:r w:rsidRPr="00D70EC1">
        <w:rPr>
          <w:rFonts w:asciiTheme="minorHAnsi" w:hAnsiTheme="minorHAnsi" w:cstheme="minorHAnsi"/>
          <w:sz w:val="20"/>
          <w:szCs w:val="20"/>
        </w:rPr>
        <w:tab/>
      </w:r>
      <w:r w:rsidRPr="00D70EC1">
        <w:rPr>
          <w:rFonts w:asciiTheme="minorHAnsi" w:hAnsiTheme="minorHAnsi" w:cstheme="minorHAnsi"/>
          <w:sz w:val="20"/>
          <w:szCs w:val="20"/>
        </w:rPr>
        <w:tab/>
        <w:t>Za podstatné porušení povinnosti je dle této Smlouvy považováno jen:</w:t>
      </w:r>
    </w:p>
    <w:p w14:paraId="26A0DD67" w14:textId="77777777" w:rsidR="00D70EC1" w:rsidRPr="00D70EC1" w:rsidRDefault="00D70EC1" w:rsidP="00D70EC1">
      <w:pPr>
        <w:numPr>
          <w:ilvl w:val="0"/>
          <w:numId w:val="18"/>
        </w:numPr>
        <w:spacing w:before="0" w:after="120" w:line="276" w:lineRule="auto"/>
        <w:ind w:left="993" w:hanging="426"/>
        <w:rPr>
          <w:rFonts w:asciiTheme="minorHAnsi" w:hAnsiTheme="minorHAnsi" w:cstheme="minorHAnsi"/>
          <w:sz w:val="20"/>
          <w:szCs w:val="20"/>
        </w:rPr>
      </w:pPr>
      <w:r w:rsidRPr="00D70EC1">
        <w:rPr>
          <w:rFonts w:asciiTheme="minorHAnsi" w:hAnsiTheme="minorHAnsi" w:cstheme="minorHAnsi"/>
          <w:sz w:val="20"/>
          <w:szCs w:val="20"/>
        </w:rPr>
        <w:t xml:space="preserve">nesplnění povinnosti Budoucího odběratele uzavřít ve sjednaném termínu Smlouvu o dodávce dle čl. II. odst. 10/ této Smlouvy; </w:t>
      </w:r>
    </w:p>
    <w:p w14:paraId="045A7617" w14:textId="77777777" w:rsidR="00D70EC1" w:rsidRPr="00D70EC1" w:rsidRDefault="00D70EC1" w:rsidP="00D70EC1">
      <w:pPr>
        <w:numPr>
          <w:ilvl w:val="0"/>
          <w:numId w:val="18"/>
        </w:numPr>
        <w:spacing w:before="0" w:after="120" w:line="276" w:lineRule="auto"/>
        <w:ind w:left="993" w:hanging="426"/>
        <w:rPr>
          <w:rFonts w:asciiTheme="minorHAnsi" w:hAnsiTheme="minorHAnsi" w:cstheme="minorHAnsi"/>
          <w:sz w:val="20"/>
          <w:szCs w:val="20"/>
        </w:rPr>
      </w:pPr>
      <w:r w:rsidRPr="00D70EC1">
        <w:rPr>
          <w:rFonts w:asciiTheme="minorHAnsi" w:hAnsiTheme="minorHAnsi" w:cstheme="minorHAnsi"/>
          <w:sz w:val="20"/>
          <w:szCs w:val="20"/>
        </w:rPr>
        <w:t>nesplnění povinnosti TLI realizovat Investici specifikovanou v čl. I., odst. 4/ této Smlouvy, jsou-li ze strany Budoucího odběratele splněny povinnosti dle čl. II., odst. 6/ této Smlouvy a není-li dán důvod pro odstoupení od smlouvy dle čl. II., odst. 15/ této Smlouvy;</w:t>
      </w:r>
    </w:p>
    <w:p w14:paraId="1D70FBC7" w14:textId="77777777" w:rsidR="00D70EC1" w:rsidRPr="00D70EC1" w:rsidRDefault="00D70EC1" w:rsidP="00D70EC1">
      <w:pPr>
        <w:numPr>
          <w:ilvl w:val="0"/>
          <w:numId w:val="18"/>
        </w:numPr>
        <w:spacing w:before="0" w:after="120" w:line="276" w:lineRule="auto"/>
        <w:ind w:left="993" w:hanging="426"/>
        <w:rPr>
          <w:rFonts w:asciiTheme="minorHAnsi" w:hAnsiTheme="minorHAnsi" w:cstheme="minorHAnsi"/>
          <w:sz w:val="20"/>
          <w:szCs w:val="20"/>
        </w:rPr>
      </w:pPr>
      <w:r w:rsidRPr="00D70EC1">
        <w:rPr>
          <w:rFonts w:asciiTheme="minorHAnsi" w:hAnsiTheme="minorHAnsi" w:cstheme="minorHAnsi"/>
          <w:sz w:val="20"/>
          <w:szCs w:val="20"/>
        </w:rPr>
        <w:t>porušení závazku Budoucího odběratele dle čl. III., odst. 1/ této Smlouvy.</w:t>
      </w:r>
    </w:p>
    <w:p w14:paraId="1277D1F5" w14:textId="263A33FC" w:rsidR="00D70EC1" w:rsidRPr="00D70EC1" w:rsidRDefault="00D70EC1" w:rsidP="00D70EC1">
      <w:pPr>
        <w:numPr>
          <w:ilvl w:val="0"/>
          <w:numId w:val="18"/>
        </w:numPr>
        <w:tabs>
          <w:tab w:val="left" w:pos="993"/>
        </w:tabs>
        <w:spacing w:before="0" w:after="120" w:line="276" w:lineRule="auto"/>
        <w:ind w:left="993" w:hanging="426"/>
        <w:rPr>
          <w:rFonts w:asciiTheme="minorHAnsi" w:hAnsiTheme="minorHAnsi" w:cstheme="minorHAnsi"/>
          <w:sz w:val="20"/>
          <w:szCs w:val="20"/>
        </w:rPr>
      </w:pPr>
      <w:r w:rsidRPr="00D70EC1">
        <w:rPr>
          <w:rFonts w:asciiTheme="minorHAnsi" w:hAnsiTheme="minorHAnsi" w:cstheme="minorHAnsi"/>
          <w:sz w:val="20"/>
          <w:szCs w:val="20"/>
        </w:rPr>
        <w:t>nesplnění povinnosti TLI k dokončení Investice ani v náhradní lhůtě devadesáti (90) dnů    ode dne uplynutí závazného termínu dle čl. II., odst. 5/ této Smlouvy;</w:t>
      </w:r>
    </w:p>
    <w:p w14:paraId="19BE58DE" w14:textId="77777777" w:rsidR="00D70EC1" w:rsidRPr="00D70EC1" w:rsidRDefault="00D70EC1" w:rsidP="00D70EC1">
      <w:pPr>
        <w:numPr>
          <w:ilvl w:val="0"/>
          <w:numId w:val="18"/>
        </w:numPr>
        <w:tabs>
          <w:tab w:val="left" w:pos="993"/>
        </w:tabs>
        <w:spacing w:before="0" w:after="120" w:line="276" w:lineRule="auto"/>
        <w:ind w:left="993" w:hanging="426"/>
        <w:rPr>
          <w:rFonts w:asciiTheme="minorHAnsi" w:hAnsiTheme="minorHAnsi" w:cstheme="minorHAnsi"/>
          <w:sz w:val="20"/>
          <w:szCs w:val="20"/>
        </w:rPr>
      </w:pPr>
      <w:r w:rsidRPr="00D70EC1">
        <w:rPr>
          <w:rFonts w:asciiTheme="minorHAnsi" w:hAnsiTheme="minorHAnsi" w:cstheme="minorHAnsi"/>
          <w:sz w:val="20"/>
          <w:szCs w:val="20"/>
        </w:rPr>
        <w:t>Případně nesplnění povinností TLI k uzavření Smlouvy o dodávce při využití práva Budoucím odběratelem dle čl. II. odst. 16/.</w:t>
      </w:r>
    </w:p>
    <w:p w14:paraId="366408F7"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5/</w:t>
      </w:r>
      <w:r w:rsidRPr="00D70EC1">
        <w:rPr>
          <w:rFonts w:asciiTheme="minorHAnsi" w:hAnsiTheme="minorHAnsi" w:cstheme="minorHAnsi"/>
          <w:sz w:val="20"/>
          <w:szCs w:val="20"/>
        </w:rPr>
        <w:tab/>
        <w:t>Právní jednání, kterými se ukončuje trvání této Smlouvy, musí mít písemnou formu a doručují se na adresu Smluvní strany uvedenou ve veřejném rejstříku a není-li tam adresa uvedena, pak na adresu uvedenou v záhlaví této Smlouvy. Na roveň postavené je doručování do datové schránky.</w:t>
      </w:r>
    </w:p>
    <w:p w14:paraId="36B8B26D"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6/</w:t>
      </w:r>
      <w:r w:rsidRPr="00D70EC1">
        <w:rPr>
          <w:rFonts w:asciiTheme="minorHAnsi" w:hAnsiTheme="minorHAnsi" w:cstheme="minorHAnsi"/>
          <w:sz w:val="20"/>
          <w:szCs w:val="20"/>
        </w:rPr>
        <w:tab/>
        <w:t xml:space="preserve">Smluvní strany se dohodly, že každá písemnost se považuje za doručenou nejpozději pátým (5.) kalendářním dnem ode dne, kdy byla podána k poštovní přepravě, byla-li podána jako doporučená a byla-li adresována v souladu s odst. 5/ tohoto článku Smlouvy, ledaže je prokázáno její doručení dříve. </w:t>
      </w:r>
    </w:p>
    <w:p w14:paraId="66A1D4B7" w14:textId="21E9018C"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7/</w:t>
      </w:r>
      <w:r w:rsidRPr="00D70EC1">
        <w:rPr>
          <w:rFonts w:asciiTheme="minorHAnsi" w:hAnsiTheme="minorHAnsi" w:cstheme="minorHAnsi"/>
          <w:sz w:val="20"/>
          <w:szCs w:val="20"/>
        </w:rPr>
        <w:tab/>
        <w:t xml:space="preserve">Investice </w:t>
      </w:r>
      <w:r w:rsidR="00BB6EA5">
        <w:rPr>
          <w:rFonts w:asciiTheme="minorHAnsi" w:hAnsiTheme="minorHAnsi" w:cstheme="minorHAnsi"/>
          <w:sz w:val="20"/>
          <w:szCs w:val="20"/>
        </w:rPr>
        <w:t xml:space="preserve">může </w:t>
      </w:r>
      <w:r w:rsidRPr="00D70EC1">
        <w:rPr>
          <w:rFonts w:asciiTheme="minorHAnsi" w:hAnsiTheme="minorHAnsi" w:cstheme="minorHAnsi"/>
          <w:sz w:val="20"/>
          <w:szCs w:val="20"/>
        </w:rPr>
        <w:t>podléh</w:t>
      </w:r>
      <w:r w:rsidR="00BB6EA5">
        <w:rPr>
          <w:rFonts w:asciiTheme="minorHAnsi" w:hAnsiTheme="minorHAnsi" w:cstheme="minorHAnsi"/>
          <w:sz w:val="20"/>
          <w:szCs w:val="20"/>
        </w:rPr>
        <w:t>at</w:t>
      </w:r>
      <w:r w:rsidRPr="00D70EC1">
        <w:rPr>
          <w:rFonts w:asciiTheme="minorHAnsi" w:hAnsiTheme="minorHAnsi" w:cstheme="minorHAnsi"/>
          <w:sz w:val="20"/>
          <w:szCs w:val="20"/>
        </w:rPr>
        <w:t xml:space="preserve"> kolaudačnímu řízení a TLI se zavazuje zajistit </w:t>
      </w:r>
      <w:r w:rsidR="00BB6EA5">
        <w:rPr>
          <w:rFonts w:asciiTheme="minorHAnsi" w:hAnsiTheme="minorHAnsi" w:cstheme="minorHAnsi"/>
          <w:sz w:val="20"/>
          <w:szCs w:val="20"/>
        </w:rPr>
        <w:t xml:space="preserve">případnou </w:t>
      </w:r>
      <w:r w:rsidRPr="00D70EC1">
        <w:rPr>
          <w:rFonts w:asciiTheme="minorHAnsi" w:hAnsiTheme="minorHAnsi" w:cstheme="minorHAnsi"/>
          <w:sz w:val="20"/>
          <w:szCs w:val="20"/>
        </w:rPr>
        <w:t>kolaudaci Investice po jejím celkovém dokončení. Ke splnění tohoto závazku se Budoucí odběratel zavazuje poskytnout TLI veškerou nezbytnou součinnost.</w:t>
      </w:r>
    </w:p>
    <w:p w14:paraId="696A5781" w14:textId="77777777" w:rsidR="00D70EC1" w:rsidRPr="001E2543"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8/</w:t>
      </w:r>
      <w:r w:rsidRPr="00D70EC1">
        <w:rPr>
          <w:rFonts w:asciiTheme="minorHAnsi" w:hAnsiTheme="minorHAnsi" w:cstheme="minorHAnsi"/>
          <w:sz w:val="20"/>
          <w:szCs w:val="20"/>
        </w:rPr>
        <w:tab/>
      </w:r>
      <w:r w:rsidRPr="001E2543">
        <w:rPr>
          <w:rFonts w:asciiTheme="minorHAnsi" w:hAnsiTheme="minorHAnsi" w:cstheme="minorHAnsi"/>
          <w:sz w:val="20"/>
          <w:szCs w:val="20"/>
        </w:rPr>
        <w:t>TLI se výslovně zavazuje, že do šedesáti (60) dnů od dokončení Investice předloží Budoucímu odběrateli originál geometrického plánu pro vyznačení služebnosti o zřízení (umístění) a provozu teplárenského zařízení (dále jen „</w:t>
      </w:r>
      <w:r w:rsidRPr="001E2543">
        <w:rPr>
          <w:rFonts w:asciiTheme="minorHAnsi" w:hAnsiTheme="minorHAnsi" w:cstheme="minorHAnsi"/>
          <w:b/>
          <w:bCs/>
          <w:sz w:val="20"/>
          <w:szCs w:val="20"/>
        </w:rPr>
        <w:t>služebnos</w:t>
      </w:r>
      <w:r w:rsidRPr="001E2543">
        <w:rPr>
          <w:rFonts w:asciiTheme="minorHAnsi" w:hAnsiTheme="minorHAnsi" w:cstheme="minorHAnsi"/>
          <w:sz w:val="20"/>
          <w:szCs w:val="20"/>
        </w:rPr>
        <w:t xml:space="preserve">t“) v potřebném počtu vyhotovení, kterým bude Investice zaměřena a vyznačena výměra zásahu Investice do dotčených pozemků a výkres nebo jinou dokumentaci skutečného provedení Investice. Dále předloží veškeré doklady nutné k uzavření smlouvy o zřízení služebnosti. TLI i Budoucí odběratel se touto smlouvou zavazují, že neprodleně po předložení geometrického plánu ze strany TLI Budoucímu odběrateli přistoupí k uzavření smlouvy o zřízení služebnosti. Dokončením Investice se pro účely této smlouvy rozumí nabytí právní moci příslušného veřejnoprávního rozhodnutí, kterým bude užívání Investice povoleno nebo okamžik, od něhož je možné Investici v souladu s právními předpisy užívat bez takového rozhodnutí. </w:t>
      </w:r>
    </w:p>
    <w:p w14:paraId="2FABE6B3" w14:textId="77777777" w:rsidR="00D70EC1" w:rsidRPr="001E2543" w:rsidRDefault="00D70EC1" w:rsidP="00D70EC1">
      <w:pPr>
        <w:spacing w:after="120" w:line="276" w:lineRule="auto"/>
        <w:ind w:left="567" w:hanging="567"/>
        <w:rPr>
          <w:rFonts w:asciiTheme="minorHAnsi" w:hAnsiTheme="minorHAnsi" w:cstheme="minorHAnsi"/>
          <w:sz w:val="20"/>
          <w:szCs w:val="20"/>
        </w:rPr>
      </w:pPr>
      <w:r w:rsidRPr="001E2543">
        <w:rPr>
          <w:rFonts w:asciiTheme="minorHAnsi" w:hAnsiTheme="minorHAnsi" w:cstheme="minorHAnsi"/>
          <w:sz w:val="20"/>
          <w:szCs w:val="20"/>
        </w:rPr>
        <w:t>9/</w:t>
      </w:r>
      <w:r w:rsidRPr="001E2543">
        <w:rPr>
          <w:rFonts w:asciiTheme="minorHAnsi" w:hAnsiTheme="minorHAnsi" w:cstheme="minorHAnsi"/>
          <w:sz w:val="20"/>
          <w:szCs w:val="20"/>
        </w:rPr>
        <w:tab/>
        <w:t xml:space="preserve">Rozsah služebnosti bude dán ustanovením § 87 odst. 2 zákona č. 458/2000 Sb., energetický zákon, ve znění pozdějších předpisů (šířka ochranných pásem je vymezena svislými rovinami vedenými po obou stranách zařízení na výrobu či rozvod tepelné energie ve vodorovné </w:t>
      </w:r>
      <w:r w:rsidRPr="001E2543">
        <w:rPr>
          <w:rFonts w:asciiTheme="minorHAnsi" w:hAnsiTheme="minorHAnsi" w:cstheme="minorHAnsi"/>
          <w:sz w:val="20"/>
          <w:szCs w:val="20"/>
        </w:rPr>
        <w:lastRenderedPageBreak/>
        <w:t xml:space="preserve">vzdálenosti měřené kolmo k tomuto zařízení, která budou činit 2,5m po obou stranách, pokud se obě smluvní strany nedohodnou jinak). </w:t>
      </w:r>
    </w:p>
    <w:p w14:paraId="70BE3E03" w14:textId="54E8AD4C" w:rsidR="00D70EC1" w:rsidRPr="001E2543" w:rsidRDefault="00D70EC1" w:rsidP="00D70EC1">
      <w:pPr>
        <w:spacing w:after="120" w:line="276" w:lineRule="auto"/>
        <w:ind w:left="567" w:hanging="567"/>
        <w:rPr>
          <w:rFonts w:asciiTheme="minorHAnsi" w:hAnsiTheme="minorHAnsi" w:cstheme="minorHAnsi"/>
          <w:sz w:val="20"/>
          <w:szCs w:val="20"/>
        </w:rPr>
      </w:pPr>
      <w:r w:rsidRPr="001E2543">
        <w:rPr>
          <w:rFonts w:asciiTheme="minorHAnsi" w:hAnsiTheme="minorHAnsi" w:cstheme="minorHAnsi"/>
          <w:sz w:val="20"/>
          <w:szCs w:val="20"/>
        </w:rPr>
        <w:t>10/</w:t>
      </w:r>
      <w:r w:rsidRPr="001E2543">
        <w:rPr>
          <w:rFonts w:asciiTheme="minorHAnsi" w:hAnsiTheme="minorHAnsi" w:cstheme="minorHAnsi"/>
          <w:sz w:val="20"/>
          <w:szCs w:val="20"/>
        </w:rPr>
        <w:tab/>
      </w:r>
      <w:r w:rsidR="00D95A8E" w:rsidRPr="00E93050">
        <w:rPr>
          <w:rFonts w:asciiTheme="minorHAnsi" w:hAnsiTheme="minorHAnsi" w:cstheme="minorHAnsi"/>
          <w:sz w:val="20"/>
          <w:szCs w:val="20"/>
        </w:rPr>
        <w:t xml:space="preserve">Služebnost bude sjednána úplatně, v souladu s Interním předpisem pro zřizování věcných břemen – služebností vydaného Budoucím odběratelem. </w:t>
      </w:r>
      <w:r w:rsidRPr="001E2543">
        <w:rPr>
          <w:rFonts w:asciiTheme="minorHAnsi" w:hAnsiTheme="minorHAnsi" w:cstheme="minorHAnsi"/>
          <w:sz w:val="20"/>
          <w:szCs w:val="20"/>
        </w:rPr>
        <w:t>(dále jen „</w:t>
      </w:r>
      <w:r w:rsidRPr="001E2543">
        <w:rPr>
          <w:rFonts w:asciiTheme="minorHAnsi" w:hAnsiTheme="minorHAnsi" w:cstheme="minorHAnsi"/>
          <w:b/>
          <w:bCs/>
          <w:sz w:val="20"/>
          <w:szCs w:val="20"/>
        </w:rPr>
        <w:t>Úplata</w:t>
      </w:r>
      <w:r w:rsidRPr="001E2543">
        <w:rPr>
          <w:rFonts w:asciiTheme="minorHAnsi" w:hAnsiTheme="minorHAnsi" w:cstheme="minorHAnsi"/>
          <w:sz w:val="20"/>
          <w:szCs w:val="20"/>
        </w:rPr>
        <w:t xml:space="preserve">“). </w:t>
      </w:r>
    </w:p>
    <w:p w14:paraId="4D5DE2E3" w14:textId="77777777" w:rsidR="00D70EC1" w:rsidRPr="001E2543" w:rsidRDefault="00D70EC1" w:rsidP="00D70EC1">
      <w:pPr>
        <w:spacing w:after="120" w:line="276" w:lineRule="auto"/>
        <w:ind w:left="567" w:hanging="567"/>
        <w:rPr>
          <w:rFonts w:asciiTheme="minorHAnsi" w:hAnsiTheme="minorHAnsi" w:cstheme="minorHAnsi"/>
          <w:sz w:val="20"/>
          <w:szCs w:val="20"/>
        </w:rPr>
      </w:pPr>
      <w:r w:rsidRPr="001E2543">
        <w:rPr>
          <w:rFonts w:asciiTheme="minorHAnsi" w:hAnsiTheme="minorHAnsi" w:cstheme="minorHAnsi"/>
          <w:sz w:val="20"/>
          <w:szCs w:val="20"/>
        </w:rPr>
        <w:t>11/</w:t>
      </w:r>
      <w:r w:rsidRPr="001E2543">
        <w:rPr>
          <w:rFonts w:asciiTheme="minorHAnsi" w:hAnsiTheme="minorHAnsi" w:cstheme="minorHAnsi"/>
          <w:sz w:val="20"/>
          <w:szCs w:val="20"/>
        </w:rPr>
        <w:tab/>
        <w:t>K Úplatě bude připočteno DPH dle aktuálně platných a účinných předpisů.</w:t>
      </w:r>
    </w:p>
    <w:p w14:paraId="25D60A97"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1E2543">
        <w:rPr>
          <w:rFonts w:asciiTheme="minorHAnsi" w:hAnsiTheme="minorHAnsi" w:cstheme="minorHAnsi"/>
          <w:sz w:val="20"/>
          <w:szCs w:val="20"/>
        </w:rPr>
        <w:t>12/</w:t>
      </w:r>
      <w:r w:rsidRPr="001E2543">
        <w:rPr>
          <w:rFonts w:asciiTheme="minorHAnsi" w:hAnsiTheme="minorHAnsi" w:cstheme="minorHAnsi"/>
          <w:sz w:val="20"/>
          <w:szCs w:val="20"/>
        </w:rPr>
        <w:tab/>
        <w:t>Úplatu uhradí TLI jednorázově bezhotovostním převodem na bankovní účet Budoucího odběratele do třiceti (30) kalendářních dnů od oboustranného podpisu konečné smlouvy o zřízení služebnosti. Budoucí odběratel vystaví a zašle TLI do patnácti (15) kalendářních dnů po připsání částky na jeho účet daňový doklad.</w:t>
      </w:r>
    </w:p>
    <w:p w14:paraId="1F60FA74" w14:textId="77777777" w:rsidR="00D70EC1" w:rsidRPr="00D70EC1" w:rsidRDefault="00D70EC1" w:rsidP="00D70EC1">
      <w:pPr>
        <w:spacing w:after="120" w:line="240" w:lineRule="auto"/>
        <w:ind w:left="567" w:hanging="567"/>
        <w:rPr>
          <w:rFonts w:asciiTheme="minorHAnsi" w:hAnsiTheme="minorHAnsi" w:cstheme="minorHAnsi"/>
          <w:sz w:val="20"/>
          <w:szCs w:val="20"/>
        </w:rPr>
      </w:pPr>
    </w:p>
    <w:p w14:paraId="66750570" w14:textId="77777777" w:rsidR="00D70EC1" w:rsidRPr="00D70EC1" w:rsidRDefault="00D70EC1" w:rsidP="00D70EC1">
      <w:pPr>
        <w:spacing w:after="120" w:line="240" w:lineRule="auto"/>
        <w:ind w:left="567" w:hanging="567"/>
        <w:rPr>
          <w:rFonts w:asciiTheme="minorHAnsi" w:hAnsiTheme="minorHAnsi" w:cstheme="minorHAnsi"/>
          <w:sz w:val="20"/>
          <w:szCs w:val="20"/>
        </w:rPr>
      </w:pPr>
    </w:p>
    <w:p w14:paraId="325E769A" w14:textId="77777777" w:rsidR="00D70EC1" w:rsidRPr="00D70EC1" w:rsidRDefault="00D70EC1" w:rsidP="00D70EC1">
      <w:pPr>
        <w:spacing w:after="120" w:line="240" w:lineRule="auto"/>
        <w:ind w:left="705" w:hanging="705"/>
        <w:jc w:val="center"/>
        <w:rPr>
          <w:rFonts w:asciiTheme="minorHAnsi" w:hAnsiTheme="minorHAnsi" w:cstheme="minorHAnsi"/>
          <w:b/>
          <w:bCs/>
          <w:sz w:val="20"/>
          <w:szCs w:val="20"/>
        </w:rPr>
      </w:pPr>
      <w:r w:rsidRPr="00D70EC1">
        <w:rPr>
          <w:rFonts w:asciiTheme="minorHAnsi" w:hAnsiTheme="minorHAnsi" w:cstheme="minorHAnsi"/>
          <w:b/>
          <w:bCs/>
          <w:sz w:val="20"/>
          <w:szCs w:val="20"/>
        </w:rPr>
        <w:t>IV. Sankční ujednání</w:t>
      </w:r>
    </w:p>
    <w:p w14:paraId="6CF8AE69"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1/</w:t>
      </w:r>
      <w:r w:rsidRPr="00D70EC1">
        <w:rPr>
          <w:rFonts w:asciiTheme="minorHAnsi" w:hAnsiTheme="minorHAnsi" w:cstheme="minorHAnsi"/>
          <w:sz w:val="20"/>
          <w:szCs w:val="20"/>
        </w:rPr>
        <w:tab/>
        <w:t xml:space="preserve">Pro případ, že Budoucí odběratel poruší svůj závazek dle čl. II. odst. 10/ této Smlouvy, zavazuje se uhradit TLI smluvní pokutu ve výši 2.000 Kč (Dva tisíce korun českých) za každý, byť i započatý, den prodlení. Tím není dotčeno právo TLI na náhradu škody, zejména nikoliv však výlučně za Investici. </w:t>
      </w:r>
    </w:p>
    <w:p w14:paraId="1B47E264" w14:textId="3C3A2D4F"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2/</w:t>
      </w:r>
      <w:r w:rsidRPr="00D70EC1">
        <w:rPr>
          <w:rFonts w:asciiTheme="minorHAnsi" w:hAnsiTheme="minorHAnsi" w:cstheme="minorHAnsi"/>
          <w:sz w:val="20"/>
          <w:szCs w:val="20"/>
        </w:rPr>
        <w:tab/>
        <w:t xml:space="preserve">Pro případ, že Budoucí odběratel poruší svůj závazek dle čl. II. odst. 10/ této Smlouvy nebo čl. II., odst.12/ Smlouvy a při splnění podmínky, že TLI využije svého práva a od této Smlouvy odstoupí dle čl. III., odst. 3/ ve spojení s odst. 4/ písm. a) této Smlouvy, zavazuje se uhradit Budoucí odběratel TLI smluvní pokutu ve výši vynaložených nákladů TLI na realizaci Investice </w:t>
      </w:r>
      <w:r w:rsidR="008825AD">
        <w:rPr>
          <w:rFonts w:asciiTheme="minorHAnsi" w:hAnsiTheme="minorHAnsi" w:cstheme="minorHAnsi"/>
          <w:sz w:val="20"/>
          <w:szCs w:val="20"/>
        </w:rPr>
        <w:t xml:space="preserve">(tj. skutečných nákladů TLI na provedení a dokončení Investice vč. DPH po odečtení částky vč. DPH odpovídající podílu Budoucího odběratele, kterou Budoucí odběratel zaplatil TLI na základě faktury vystavené TLI Budoucímu odběrateli v souladu s touto Smlouvou) </w:t>
      </w:r>
      <w:r w:rsidRPr="00D70EC1">
        <w:rPr>
          <w:rFonts w:asciiTheme="minorHAnsi" w:hAnsiTheme="minorHAnsi" w:cstheme="minorHAnsi"/>
          <w:sz w:val="20"/>
          <w:szCs w:val="20"/>
        </w:rPr>
        <w:t xml:space="preserve">zvýšených koeficientem 1,1, kdy tato smluvní pokuta byla sjednána s ohledem na skutečnou výši Investice TLI, jakož i skutečnost, že TLI vznikne povinnost zajistit péči o Investici jako o nepotřebný majetek nebo povinnost Investici odstranit. Tím není dotčeno právo TLI na náhradu škody, která přesahuje smluvní pokutu a která bude zahrnovat zejména škodu na vybudování Investice, škodu na zajištění péče o Investici po dobu její životnosti, případně náklady na její odstranění, jakož i škodu, která bude spočívat ve ztrátě obchodu – tj. zejména fixní náklady na zajištění výroby tepelné energie v Minimálním množství (mzdy apod.) nebo náklady za neodebrané množství paliva pro výrobu tepelné energie ve sjednaném množství nebo ušlý zisk kalkulovaný z Minimálního množství, jak je zahrnut v kalkulaci ceny tepelné energie, a to ve výši (procentu z ceny tepelné energie), která je účinná v době odstoupení od této Smlouvy ze strany TLI; Pro výpočet ušlého zisku se bude vycházet z ceny tepelné energie platné v okamžiku odstoupení ze strany TLI pro předpokládanou úroveň předání uvedenou v příloze A) této smlouvy a na ni navazující přílohy. </w:t>
      </w:r>
    </w:p>
    <w:p w14:paraId="2FC4CDB4"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 xml:space="preserve"> 3/</w:t>
      </w:r>
      <w:r w:rsidRPr="00D70EC1">
        <w:rPr>
          <w:rFonts w:asciiTheme="minorHAnsi" w:hAnsiTheme="minorHAnsi" w:cstheme="minorHAnsi"/>
          <w:sz w:val="20"/>
          <w:szCs w:val="20"/>
        </w:rPr>
        <w:tab/>
        <w:t xml:space="preserve">Pro případ, že Budoucí odběratel nesplní svůj závazek k uzavření smlouvy o zřízení služebnosti na pozemcích, které budou dotčeny Investicí (čl. I., odst. 4/ této Smlouvy) ve lhůtě devadesáti (90) dnů od výzvy TLI k uzavření smlouvy o zřízení služebnosti, zavazuje se Budoucí odběratel za každý i započatý den prodlení s uzavřením takové smlouvy uhradit TLI smluvní pokutu ve výši 1.500 Kč (Jeden tisíc pět set korun českých). Tím není dotčeno právo na náhradu škody, která případným neuzavřením smlouvy o zřízení služebnosti TLI vznikne. </w:t>
      </w:r>
    </w:p>
    <w:p w14:paraId="2C142EC9"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4/</w:t>
      </w:r>
      <w:r w:rsidRPr="00D70EC1">
        <w:rPr>
          <w:rFonts w:asciiTheme="minorHAnsi" w:hAnsiTheme="minorHAnsi" w:cstheme="minorHAnsi"/>
          <w:sz w:val="20"/>
          <w:szCs w:val="20"/>
        </w:rPr>
        <w:tab/>
        <w:t xml:space="preserve">Pro případ, že Budoucí odběratel nesplní svůj závazek dle č. I., odst. 5/ písm. a) nebo b) této Smlouvy, zavazuje se, že uhradí TLI také veškeré náklady prokazatelně vynaložené na </w:t>
      </w:r>
      <w:r w:rsidRPr="00D70EC1">
        <w:rPr>
          <w:rFonts w:asciiTheme="minorHAnsi" w:hAnsiTheme="minorHAnsi" w:cstheme="minorHAnsi"/>
          <w:sz w:val="20"/>
          <w:szCs w:val="20"/>
        </w:rPr>
        <w:lastRenderedPageBreak/>
        <w:t>vypracování projektové dokumentace a na vydání územního souhlasu s vybudováním Investice dle této Smlouvy.</w:t>
      </w:r>
    </w:p>
    <w:p w14:paraId="1D5397EF"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5/</w:t>
      </w:r>
      <w:r w:rsidRPr="00D70EC1">
        <w:rPr>
          <w:rFonts w:asciiTheme="minorHAnsi" w:hAnsiTheme="minorHAnsi" w:cstheme="minorHAnsi"/>
          <w:sz w:val="20"/>
          <w:szCs w:val="20"/>
        </w:rPr>
        <w:tab/>
        <w:t xml:space="preserve">Pro případ, že Budoucí odběratel nesplní svůj závazek dle čl. II., odst. 6/ Smlouvy ani ve lhůtě do dvaceti čtyřech (24) měsíců ode dne podpisu této Smlouvy, zavazuje se uhradit TLI smluvní pokutu ve výši 2.000 Kč (Dva tisíce korun českých) za každý, byť i započatý, den prodlení. </w:t>
      </w:r>
    </w:p>
    <w:p w14:paraId="2AF8672B"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6/</w:t>
      </w:r>
      <w:r w:rsidRPr="00D70EC1">
        <w:rPr>
          <w:rFonts w:asciiTheme="minorHAnsi" w:hAnsiTheme="minorHAnsi" w:cstheme="minorHAnsi"/>
          <w:sz w:val="20"/>
          <w:szCs w:val="20"/>
        </w:rPr>
        <w:tab/>
        <w:t xml:space="preserve">Nesplní-li TLI povinnost k dokončení Investice v závazném termínu sjednaném v čl. II., odst. 5/ této Smlouvy, zavazuje se uhradit Budoucímu odběrateli smluvní pokutu ve výši 2.000 Kč (Dva tisíce korun českých) za každý, byť i započatý, den prodlení. Tím není dotčeno právo Budoucího odběratele na náhradu škody. V případě, že TLI nesplní povinnost k dokončení Investice ani v náhradní lhůtě devadesáti (90) dnů ode dne uplynutí závazného termínu, je Budoucí odběratel oprávněn od této Smlouvy odstoupit. </w:t>
      </w:r>
    </w:p>
    <w:p w14:paraId="169AB111" w14:textId="77777777" w:rsidR="00D70EC1" w:rsidRPr="00D70EC1" w:rsidRDefault="00D70EC1" w:rsidP="00D70EC1">
      <w:pPr>
        <w:spacing w:after="120" w:line="240" w:lineRule="auto"/>
        <w:ind w:left="567" w:hanging="567"/>
        <w:rPr>
          <w:rFonts w:asciiTheme="minorHAnsi" w:hAnsiTheme="minorHAnsi" w:cstheme="minorHAnsi"/>
          <w:sz w:val="20"/>
          <w:szCs w:val="20"/>
        </w:rPr>
      </w:pPr>
    </w:p>
    <w:p w14:paraId="4787A7DA" w14:textId="77777777" w:rsidR="00D70EC1" w:rsidRPr="00D70EC1" w:rsidRDefault="00D70EC1" w:rsidP="00D70EC1">
      <w:pPr>
        <w:spacing w:after="120" w:line="240" w:lineRule="auto"/>
        <w:ind w:left="705" w:hanging="705"/>
        <w:jc w:val="center"/>
        <w:rPr>
          <w:rFonts w:asciiTheme="minorHAnsi" w:hAnsiTheme="minorHAnsi" w:cstheme="minorHAnsi"/>
          <w:b/>
          <w:sz w:val="20"/>
          <w:szCs w:val="20"/>
        </w:rPr>
      </w:pPr>
      <w:r w:rsidRPr="00D70EC1">
        <w:rPr>
          <w:rFonts w:asciiTheme="minorHAnsi" w:hAnsiTheme="minorHAnsi" w:cstheme="minorHAnsi"/>
          <w:b/>
          <w:sz w:val="20"/>
          <w:szCs w:val="20"/>
        </w:rPr>
        <w:t>V. Závěrečná ujednání</w:t>
      </w:r>
    </w:p>
    <w:p w14:paraId="3A3F2565" w14:textId="77777777" w:rsidR="00D70EC1" w:rsidRPr="00D70EC1" w:rsidRDefault="00D70EC1" w:rsidP="00D70EC1">
      <w:pPr>
        <w:spacing w:after="120" w:line="276" w:lineRule="auto"/>
        <w:ind w:left="567" w:hanging="567"/>
        <w:rPr>
          <w:rFonts w:asciiTheme="minorHAnsi" w:hAnsiTheme="minorHAnsi" w:cstheme="minorHAnsi"/>
          <w:sz w:val="20"/>
          <w:szCs w:val="20"/>
        </w:rPr>
      </w:pPr>
      <w:bookmarkStart w:id="4" w:name="ClanekVI_ods2"/>
      <w:bookmarkStart w:id="5" w:name="ClanekVI_ods3"/>
      <w:bookmarkEnd w:id="4"/>
      <w:bookmarkEnd w:id="5"/>
      <w:r w:rsidRPr="00D70EC1">
        <w:rPr>
          <w:rFonts w:asciiTheme="minorHAnsi" w:hAnsiTheme="minorHAnsi" w:cstheme="minorHAnsi"/>
          <w:sz w:val="20"/>
          <w:szCs w:val="20"/>
        </w:rPr>
        <w:t>1/</w:t>
      </w:r>
      <w:r w:rsidRPr="00D70EC1">
        <w:rPr>
          <w:rFonts w:asciiTheme="minorHAnsi" w:hAnsiTheme="minorHAnsi" w:cstheme="minorHAnsi"/>
          <w:sz w:val="20"/>
          <w:szCs w:val="20"/>
        </w:rPr>
        <w:tab/>
        <w:t>Právní vztahy touto Smlouvou výslovně neupravené se řídí příslušnými ustanoveními občanského zákoníku a ostatních obecně závazných předpisů.</w:t>
      </w:r>
    </w:p>
    <w:p w14:paraId="238A6D4F"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2/</w:t>
      </w:r>
      <w:r w:rsidRPr="00D70EC1">
        <w:rPr>
          <w:rFonts w:asciiTheme="minorHAnsi" w:hAnsiTheme="minorHAnsi" w:cstheme="minorHAnsi"/>
          <w:sz w:val="20"/>
          <w:szCs w:val="20"/>
        </w:rPr>
        <w:tab/>
        <w:t>Je-li nebo stane-li se kterékoli ujednání této Smlouvy neplatným, nemá to vliv na platnost ostatních ujednání. Smluvní strany se zavazují případné neplatné ujednání bezodkladně nahradit formou písemného dodatku ujednáním platným a co nejvíce se blížícím svým smyslem a účelem ujednání původnímu.</w:t>
      </w:r>
    </w:p>
    <w:p w14:paraId="10902C78"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3/</w:t>
      </w:r>
      <w:r w:rsidRPr="00D70EC1">
        <w:rPr>
          <w:rFonts w:asciiTheme="minorHAnsi" w:hAnsiTheme="minorHAnsi" w:cstheme="minorHAnsi"/>
          <w:sz w:val="20"/>
          <w:szCs w:val="20"/>
        </w:rPr>
        <w:tab/>
        <w:t>Budoucí odběratel se vzdává práva domáhat se zrušení závazku z této Smlouvy podle § 1788 odst. 2 občanského zákoníku, tedy v případě změny okolností do té míry, že na zavázané straně nelze rozumně požadovat, aby byla Smlouvou dále vázána.</w:t>
      </w:r>
    </w:p>
    <w:p w14:paraId="0606B6FD"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 xml:space="preserve">4/ </w:t>
      </w:r>
      <w:r w:rsidRPr="00D70EC1">
        <w:rPr>
          <w:rFonts w:asciiTheme="minorHAnsi" w:hAnsiTheme="minorHAnsi" w:cstheme="minorHAnsi"/>
          <w:sz w:val="20"/>
          <w:szCs w:val="20"/>
        </w:rPr>
        <w:tab/>
        <w:t>Smluvní strany dále přejímají podle § 1765 odst. 2 občanského zákoníku riziko změny okolností v souvislosti s obsahem této Smlouvy – pro Budoucího odběratele tedy bezvýjimečně platí, že změní-li se po uzavření této Smlouvy okolnosti do té míry, že se plnění podle této Smlouvy stane pro Budoucího odběratele obtížnější, nemění to nic na jeho povinnosti splnit své závazky. Smluvní strany jsou si vědomy toho, že práva a povinnosti z této Smlouvy mohou v celkovém rozsahu přesáhnout deset (10) let od okamžiku sjednání této Smlouvy, pokud by došlo k překročení této lhůty, nemá to žádný vliv na platnost této Smlouvy a Smluvní strany mají zájem na tom, aby tato Smlouva platila i po tuto delší dobu.</w:t>
      </w:r>
    </w:p>
    <w:p w14:paraId="4AA6AEA6"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5/</w:t>
      </w:r>
      <w:r w:rsidRPr="00D70EC1">
        <w:rPr>
          <w:rFonts w:asciiTheme="minorHAnsi" w:hAnsiTheme="minorHAnsi" w:cstheme="minorHAnsi"/>
          <w:sz w:val="20"/>
          <w:szCs w:val="20"/>
        </w:rPr>
        <w:tab/>
        <w:t>Tato Smlouva obsahuje úplné ujednání o předmětu Smlouvy a všech náležitostech, které Smluvní strany měly a chtěly ve Smlouvě sjednat, a které považují za důležité pro závaznost této Smlouvy. Žádný projev Smluvních stran učiněný při jednání o této Smlouvě, ani projev učiněný po uzavření této Smlouvy nesmí být vykládán v rozporu s výslovnými ujednáními této Smlouvy. Smluvní strany výslovně potvrzují, že základní podmínky této Smlouvy jsou výsledkem jednání Smluvních stran a každá ze Smluvních stran měla příležitost ovlivnit obsah základních podmínek této Smlouvy.</w:t>
      </w:r>
    </w:p>
    <w:p w14:paraId="7786EC9E"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 xml:space="preserve">6/ </w:t>
      </w:r>
      <w:r w:rsidRPr="00D70EC1">
        <w:rPr>
          <w:rFonts w:asciiTheme="minorHAnsi" w:hAnsiTheme="minorHAnsi" w:cstheme="minorHAnsi"/>
          <w:sz w:val="20"/>
          <w:szCs w:val="20"/>
        </w:rPr>
        <w:tab/>
        <w:t>Budoucí odběratel prohlašuje, že na jeho majetek nebyl prohlášen úpadek, nebylo proti němu zahájeno insolvenční ani exekuční řízení.</w:t>
      </w:r>
    </w:p>
    <w:p w14:paraId="0E307332"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t>7/</w:t>
      </w:r>
      <w:r w:rsidRPr="00D70EC1">
        <w:rPr>
          <w:rFonts w:asciiTheme="minorHAnsi" w:hAnsiTheme="minorHAnsi" w:cstheme="minorHAnsi"/>
          <w:sz w:val="20"/>
          <w:szCs w:val="20"/>
        </w:rPr>
        <w:tab/>
        <w:t>Jakékoliv změny této Smlouvy musí být učiněny formou písemných dodatků, chronologicky číselně řazených a podepsaných na jedné listině oprávněnými zástupci obou smluvních stran.</w:t>
      </w:r>
    </w:p>
    <w:p w14:paraId="73BFFA23" w14:textId="77777777" w:rsidR="00D70EC1" w:rsidRPr="00D70EC1" w:rsidRDefault="00D70EC1" w:rsidP="00D70EC1">
      <w:pPr>
        <w:spacing w:after="120" w:line="276" w:lineRule="auto"/>
        <w:ind w:left="567" w:hanging="567"/>
        <w:rPr>
          <w:rFonts w:asciiTheme="minorHAnsi" w:hAnsiTheme="minorHAnsi" w:cstheme="minorHAnsi"/>
          <w:sz w:val="20"/>
          <w:szCs w:val="20"/>
        </w:rPr>
      </w:pPr>
      <w:r w:rsidRPr="00D70EC1">
        <w:rPr>
          <w:rFonts w:asciiTheme="minorHAnsi" w:hAnsiTheme="minorHAnsi" w:cstheme="minorHAnsi"/>
          <w:sz w:val="20"/>
          <w:szCs w:val="20"/>
        </w:rPr>
        <w:lastRenderedPageBreak/>
        <w:t>8/</w:t>
      </w:r>
      <w:r w:rsidRPr="00D70EC1">
        <w:rPr>
          <w:rFonts w:asciiTheme="minorHAnsi" w:hAnsiTheme="minorHAnsi" w:cstheme="minorHAnsi"/>
          <w:sz w:val="20"/>
          <w:szCs w:val="20"/>
        </w:rPr>
        <w:tab/>
        <w:t>Smluvní strany prohlašují, že si tuto Smlouvu před jejím podpisem přečetly, že byla uzavřena po vzájemném projednání podle jejich pravé a svobodné vůle, určitě, vážně a srozumitelně. Autentičnost této Smlouvy stvrzují svým vlastnoručním podpisem.</w:t>
      </w:r>
    </w:p>
    <w:p w14:paraId="26EBFAAA" w14:textId="77777777" w:rsidR="00D70EC1" w:rsidRPr="00D70EC1" w:rsidRDefault="00D70EC1" w:rsidP="00D70EC1">
      <w:pPr>
        <w:spacing w:after="120"/>
        <w:ind w:left="567" w:hanging="567"/>
        <w:rPr>
          <w:rFonts w:asciiTheme="minorHAnsi" w:hAnsiTheme="minorHAnsi" w:cstheme="minorHAnsi"/>
          <w:sz w:val="20"/>
          <w:szCs w:val="20"/>
        </w:rPr>
      </w:pPr>
      <w:r w:rsidRPr="00D70EC1">
        <w:rPr>
          <w:rFonts w:asciiTheme="minorHAnsi" w:hAnsiTheme="minorHAnsi" w:cstheme="minorHAnsi"/>
          <w:sz w:val="20"/>
          <w:szCs w:val="20"/>
        </w:rPr>
        <w:t>9/</w:t>
      </w:r>
      <w:r w:rsidRPr="00D70EC1">
        <w:rPr>
          <w:rFonts w:asciiTheme="minorHAnsi" w:hAnsiTheme="minorHAnsi" w:cstheme="minorHAnsi"/>
          <w:sz w:val="20"/>
          <w:szCs w:val="20"/>
        </w:rPr>
        <w:tab/>
        <w:t>Budoucí odběratel se zavazuje řádně a včas splnit ve vztahu ke Smlouvě veškeré povinnosti plynoucí ze zákona č. 340/2015 Sb., o registru smluv.</w:t>
      </w:r>
    </w:p>
    <w:p w14:paraId="61B6A167" w14:textId="77777777" w:rsidR="00E93050" w:rsidRDefault="00D70EC1" w:rsidP="00D70EC1">
      <w:pPr>
        <w:spacing w:after="120"/>
        <w:ind w:left="567" w:hanging="567"/>
        <w:rPr>
          <w:rFonts w:asciiTheme="minorHAnsi" w:hAnsiTheme="minorHAnsi" w:cstheme="minorHAnsi"/>
          <w:sz w:val="20"/>
          <w:szCs w:val="20"/>
        </w:rPr>
      </w:pPr>
      <w:r w:rsidRPr="00D70EC1">
        <w:rPr>
          <w:rFonts w:asciiTheme="minorHAnsi" w:hAnsiTheme="minorHAnsi" w:cstheme="minorHAnsi"/>
          <w:sz w:val="20"/>
          <w:szCs w:val="20"/>
        </w:rPr>
        <w:t>10/</w:t>
      </w:r>
      <w:r w:rsidRPr="00D70EC1">
        <w:rPr>
          <w:rFonts w:asciiTheme="minorHAnsi" w:hAnsiTheme="minorHAnsi" w:cstheme="minorHAnsi"/>
          <w:sz w:val="20"/>
          <w:szCs w:val="20"/>
        </w:rPr>
        <w:tab/>
        <w:t xml:space="preserve">Tato Smlouva nabývá platnosti a účinnosti dnem podpisu oprávněnými osobami smluvních stran, ledaže účinnost této Smlouvy nastává ze zákona později. Tato Smlouva se vyhotovuje se ve dvou (2) stejnopisech, z nichž každý má platnost originálu; Každá ze smluvních stran obdrží po jednom (1) stejnopise. </w:t>
      </w:r>
    </w:p>
    <w:p w14:paraId="45FC1F9A" w14:textId="3BA91C7C" w:rsidR="00D70EC1" w:rsidRPr="00D70EC1" w:rsidRDefault="00D70EC1" w:rsidP="00E93050">
      <w:pPr>
        <w:spacing w:after="120"/>
        <w:ind w:left="567"/>
        <w:rPr>
          <w:rFonts w:asciiTheme="minorHAnsi" w:hAnsiTheme="minorHAnsi" w:cstheme="minorHAnsi"/>
          <w:sz w:val="20"/>
          <w:szCs w:val="20"/>
        </w:rPr>
      </w:pPr>
      <w:r w:rsidRPr="00D70EC1">
        <w:rPr>
          <w:rFonts w:asciiTheme="minorHAnsi" w:hAnsiTheme="minorHAnsi" w:cstheme="minorHAnsi"/>
          <w:sz w:val="20"/>
          <w:szCs w:val="20"/>
        </w:rPr>
        <w:t>Přílohou této Smlouvy je vzor Smlouvy o dodávce.</w:t>
      </w:r>
    </w:p>
    <w:p w14:paraId="74553A99" w14:textId="77777777" w:rsidR="00D70EC1" w:rsidRPr="00D70EC1" w:rsidRDefault="00D70EC1" w:rsidP="00D70EC1">
      <w:pPr>
        <w:spacing w:after="120" w:line="276" w:lineRule="auto"/>
        <w:ind w:left="567" w:hanging="567"/>
        <w:rPr>
          <w:rFonts w:asciiTheme="minorHAnsi" w:hAnsiTheme="minorHAnsi" w:cstheme="minorHAnsi"/>
          <w:sz w:val="20"/>
          <w:szCs w:val="20"/>
        </w:rPr>
      </w:pPr>
    </w:p>
    <w:p w14:paraId="52BB6F71" w14:textId="58E84975" w:rsidR="00D70EC1" w:rsidRPr="00D70EC1" w:rsidRDefault="00D70EC1" w:rsidP="00D70EC1">
      <w:pPr>
        <w:spacing w:after="120"/>
        <w:ind w:left="567" w:hanging="567"/>
        <w:rPr>
          <w:rFonts w:asciiTheme="minorHAnsi" w:hAnsiTheme="minorHAnsi" w:cstheme="minorHAnsi"/>
          <w:sz w:val="20"/>
          <w:szCs w:val="20"/>
        </w:rPr>
      </w:pPr>
      <w:r w:rsidRPr="00D70EC1">
        <w:rPr>
          <w:rFonts w:asciiTheme="minorHAnsi" w:hAnsiTheme="minorHAnsi" w:cstheme="minorHAnsi"/>
          <w:sz w:val="20"/>
          <w:szCs w:val="20"/>
        </w:rPr>
        <w:t>V Liberci, dne ………………………….</w:t>
      </w:r>
      <w:r w:rsidRPr="00D70EC1">
        <w:rPr>
          <w:rFonts w:asciiTheme="minorHAnsi" w:hAnsiTheme="minorHAnsi" w:cstheme="minorHAnsi"/>
          <w:sz w:val="20"/>
          <w:szCs w:val="20"/>
        </w:rPr>
        <w:tab/>
      </w:r>
      <w:r w:rsidRPr="00D70EC1">
        <w:rPr>
          <w:rFonts w:asciiTheme="minorHAnsi" w:hAnsiTheme="minorHAnsi" w:cstheme="minorHAnsi"/>
          <w:sz w:val="20"/>
          <w:szCs w:val="20"/>
        </w:rPr>
        <w:tab/>
      </w:r>
      <w:r w:rsidRPr="00D70EC1">
        <w:rPr>
          <w:rFonts w:asciiTheme="minorHAnsi" w:hAnsiTheme="minorHAnsi" w:cstheme="minorHAnsi"/>
          <w:sz w:val="20"/>
          <w:szCs w:val="20"/>
        </w:rPr>
        <w:tab/>
        <w:t>V Liberci, dne ………………………….</w:t>
      </w:r>
    </w:p>
    <w:p w14:paraId="7BAF21F5" w14:textId="77777777" w:rsidR="00D70EC1" w:rsidRPr="00D70EC1" w:rsidRDefault="00D70EC1" w:rsidP="00D70EC1">
      <w:pPr>
        <w:spacing w:after="120"/>
        <w:ind w:left="567" w:hanging="567"/>
        <w:rPr>
          <w:rFonts w:asciiTheme="minorHAnsi" w:hAnsiTheme="minorHAnsi" w:cstheme="minorHAnsi"/>
          <w:sz w:val="20"/>
          <w:szCs w:val="20"/>
        </w:rPr>
      </w:pPr>
    </w:p>
    <w:p w14:paraId="00031A7B" w14:textId="77777777" w:rsidR="009030B2" w:rsidRDefault="009030B2" w:rsidP="00D70EC1">
      <w:pPr>
        <w:spacing w:after="120"/>
        <w:ind w:left="567" w:hanging="567"/>
        <w:rPr>
          <w:rFonts w:asciiTheme="minorHAnsi" w:hAnsiTheme="minorHAnsi" w:cstheme="minorHAnsi"/>
          <w:sz w:val="20"/>
          <w:szCs w:val="20"/>
        </w:rPr>
      </w:pPr>
    </w:p>
    <w:p w14:paraId="027E0856" w14:textId="77777777" w:rsidR="009030B2" w:rsidRDefault="009030B2" w:rsidP="00D70EC1">
      <w:pPr>
        <w:spacing w:after="120"/>
        <w:ind w:left="567" w:hanging="567"/>
        <w:rPr>
          <w:rFonts w:asciiTheme="minorHAnsi" w:hAnsiTheme="minorHAnsi" w:cstheme="minorHAnsi"/>
          <w:sz w:val="20"/>
          <w:szCs w:val="20"/>
        </w:rPr>
      </w:pPr>
    </w:p>
    <w:p w14:paraId="72CABF27" w14:textId="77777777" w:rsidR="00E93050" w:rsidRPr="00D70EC1" w:rsidRDefault="00E93050" w:rsidP="00D70EC1">
      <w:pPr>
        <w:spacing w:after="120"/>
        <w:ind w:left="567" w:hanging="567"/>
        <w:rPr>
          <w:rFonts w:asciiTheme="minorHAnsi" w:hAnsiTheme="minorHAnsi" w:cstheme="minorHAnsi"/>
          <w:sz w:val="20"/>
          <w:szCs w:val="20"/>
        </w:rPr>
      </w:pPr>
    </w:p>
    <w:p w14:paraId="46772759" w14:textId="6256FA86" w:rsidR="00D70EC1" w:rsidRPr="00D70EC1" w:rsidRDefault="00D70EC1" w:rsidP="00D70EC1">
      <w:pPr>
        <w:spacing w:after="120"/>
        <w:rPr>
          <w:rFonts w:asciiTheme="minorHAnsi" w:hAnsiTheme="minorHAnsi" w:cstheme="minorHAnsi"/>
          <w:sz w:val="20"/>
          <w:szCs w:val="20"/>
        </w:rPr>
      </w:pPr>
      <w:r w:rsidRPr="00D70EC1">
        <w:rPr>
          <w:rFonts w:asciiTheme="minorHAnsi" w:hAnsiTheme="minorHAnsi" w:cstheme="minorHAnsi"/>
          <w:sz w:val="20"/>
          <w:szCs w:val="20"/>
        </w:rPr>
        <w:t>......................................</w:t>
      </w:r>
      <w:r w:rsidRPr="00D70EC1">
        <w:rPr>
          <w:rFonts w:asciiTheme="minorHAnsi" w:hAnsiTheme="minorHAnsi" w:cstheme="minorHAnsi"/>
          <w:sz w:val="20"/>
          <w:szCs w:val="20"/>
        </w:rPr>
        <w:tab/>
        <w:t>………….</w:t>
      </w:r>
      <w:r w:rsidRPr="00D70EC1">
        <w:rPr>
          <w:rFonts w:asciiTheme="minorHAnsi" w:hAnsiTheme="minorHAnsi" w:cstheme="minorHAnsi"/>
          <w:sz w:val="20"/>
          <w:szCs w:val="20"/>
        </w:rPr>
        <w:tab/>
      </w:r>
      <w:r w:rsidRPr="00D70EC1">
        <w:rPr>
          <w:rFonts w:asciiTheme="minorHAnsi" w:hAnsiTheme="minorHAnsi" w:cstheme="minorHAnsi"/>
          <w:sz w:val="20"/>
          <w:szCs w:val="20"/>
        </w:rPr>
        <w:tab/>
      </w:r>
      <w:r w:rsidRPr="00D70EC1">
        <w:rPr>
          <w:rFonts w:asciiTheme="minorHAnsi" w:hAnsiTheme="minorHAnsi" w:cstheme="minorHAnsi"/>
          <w:sz w:val="20"/>
          <w:szCs w:val="20"/>
        </w:rPr>
        <w:tab/>
        <w:t>......................................</w:t>
      </w:r>
      <w:r w:rsidRPr="00D70EC1">
        <w:rPr>
          <w:rFonts w:asciiTheme="minorHAnsi" w:hAnsiTheme="minorHAnsi" w:cstheme="minorHAnsi"/>
          <w:sz w:val="20"/>
          <w:szCs w:val="20"/>
        </w:rPr>
        <w:tab/>
        <w:t>………….</w:t>
      </w:r>
      <w:r w:rsidRPr="00D70EC1">
        <w:rPr>
          <w:rFonts w:asciiTheme="minorHAnsi" w:hAnsiTheme="minorHAnsi" w:cstheme="minorHAnsi"/>
          <w:sz w:val="20"/>
          <w:szCs w:val="20"/>
        </w:rPr>
        <w:tab/>
      </w:r>
    </w:p>
    <w:p w14:paraId="642D5E9E" w14:textId="558A0ED2" w:rsidR="00D70EC1" w:rsidRPr="00D70EC1" w:rsidRDefault="00D70EC1" w:rsidP="00D70EC1">
      <w:pPr>
        <w:spacing w:after="120"/>
        <w:rPr>
          <w:rFonts w:asciiTheme="minorHAnsi" w:hAnsiTheme="minorHAnsi" w:cstheme="minorHAnsi"/>
          <w:sz w:val="20"/>
          <w:szCs w:val="20"/>
        </w:rPr>
      </w:pPr>
      <w:r w:rsidRPr="00D70EC1">
        <w:rPr>
          <w:rFonts w:asciiTheme="minorHAnsi" w:hAnsiTheme="minorHAnsi" w:cstheme="minorHAnsi"/>
          <w:sz w:val="20"/>
          <w:szCs w:val="20"/>
        </w:rPr>
        <w:t>Jméno: Ing. Jan Sedláček</w:t>
      </w:r>
      <w:r w:rsidRPr="00D70EC1">
        <w:rPr>
          <w:rFonts w:asciiTheme="minorHAnsi" w:hAnsiTheme="minorHAnsi" w:cstheme="minorHAnsi"/>
          <w:sz w:val="20"/>
          <w:szCs w:val="20"/>
        </w:rPr>
        <w:tab/>
      </w:r>
      <w:r w:rsidRPr="00D70EC1">
        <w:rPr>
          <w:rFonts w:asciiTheme="minorHAnsi" w:hAnsiTheme="minorHAnsi" w:cstheme="minorHAnsi"/>
          <w:sz w:val="20"/>
          <w:szCs w:val="20"/>
        </w:rPr>
        <w:tab/>
      </w:r>
      <w:r w:rsidRPr="00D70EC1">
        <w:rPr>
          <w:rFonts w:asciiTheme="minorHAnsi" w:hAnsiTheme="minorHAnsi" w:cstheme="minorHAnsi"/>
          <w:sz w:val="20"/>
          <w:szCs w:val="20"/>
        </w:rPr>
        <w:tab/>
      </w:r>
      <w:r w:rsidRPr="00D70EC1">
        <w:rPr>
          <w:rFonts w:asciiTheme="minorHAnsi" w:hAnsiTheme="minorHAnsi" w:cstheme="minorHAnsi"/>
          <w:sz w:val="20"/>
          <w:szCs w:val="20"/>
        </w:rPr>
        <w:tab/>
        <w:t xml:space="preserve">Jméno: </w:t>
      </w:r>
      <w:r w:rsidR="00A047F6">
        <w:rPr>
          <w:rFonts w:asciiTheme="minorHAnsi" w:hAnsiTheme="minorHAnsi" w:cstheme="minorHAnsi"/>
          <w:sz w:val="20"/>
          <w:szCs w:val="20"/>
        </w:rPr>
        <w:t>Bc. Helena Vopařilová, Dis.</w:t>
      </w:r>
    </w:p>
    <w:p w14:paraId="3B93B2B5" w14:textId="7DE5D47D" w:rsidR="00D70EC1" w:rsidRPr="00D70EC1" w:rsidRDefault="00D70EC1" w:rsidP="00D70EC1">
      <w:pPr>
        <w:spacing w:after="120"/>
        <w:rPr>
          <w:rFonts w:asciiTheme="minorHAnsi" w:hAnsiTheme="minorHAnsi" w:cstheme="minorHAnsi"/>
          <w:sz w:val="20"/>
          <w:szCs w:val="20"/>
        </w:rPr>
      </w:pPr>
      <w:r w:rsidRPr="00D70EC1">
        <w:rPr>
          <w:rFonts w:asciiTheme="minorHAnsi" w:hAnsiTheme="minorHAnsi" w:cstheme="minorHAnsi"/>
          <w:sz w:val="20"/>
          <w:szCs w:val="20"/>
        </w:rPr>
        <w:t>Funkce: Předseda představenstva</w:t>
      </w:r>
      <w:r w:rsidRPr="00D70EC1">
        <w:rPr>
          <w:rFonts w:asciiTheme="minorHAnsi" w:hAnsiTheme="minorHAnsi" w:cstheme="minorHAnsi"/>
          <w:sz w:val="20"/>
          <w:szCs w:val="20"/>
        </w:rPr>
        <w:tab/>
      </w:r>
      <w:r w:rsidRPr="00D70EC1">
        <w:rPr>
          <w:rFonts w:asciiTheme="minorHAnsi" w:hAnsiTheme="minorHAnsi" w:cstheme="minorHAnsi"/>
          <w:sz w:val="20"/>
          <w:szCs w:val="20"/>
        </w:rPr>
        <w:tab/>
      </w:r>
      <w:r w:rsidRPr="00D70EC1">
        <w:rPr>
          <w:rFonts w:asciiTheme="minorHAnsi" w:hAnsiTheme="minorHAnsi" w:cstheme="minorHAnsi"/>
          <w:sz w:val="20"/>
          <w:szCs w:val="20"/>
        </w:rPr>
        <w:tab/>
        <w:t>funkce:</w:t>
      </w:r>
      <w:r w:rsidRPr="00D70EC1">
        <w:rPr>
          <w:rFonts w:asciiTheme="minorHAnsi" w:hAnsiTheme="minorHAnsi" w:cstheme="minorHAnsi"/>
          <w:sz w:val="20"/>
          <w:szCs w:val="20"/>
        </w:rPr>
        <w:tab/>
      </w:r>
      <w:r w:rsidR="00A047F6">
        <w:rPr>
          <w:rFonts w:asciiTheme="minorHAnsi" w:hAnsiTheme="minorHAnsi" w:cstheme="minorHAnsi"/>
          <w:sz w:val="20"/>
          <w:szCs w:val="20"/>
        </w:rPr>
        <w:t>ředitelka</w:t>
      </w:r>
    </w:p>
    <w:p w14:paraId="2C3BA565" w14:textId="1AF4AE8D" w:rsidR="00D70EC1" w:rsidRPr="00D70EC1" w:rsidRDefault="00D70EC1" w:rsidP="00241347">
      <w:pPr>
        <w:spacing w:after="120"/>
        <w:ind w:left="4962" w:hanging="4962"/>
        <w:jc w:val="left"/>
        <w:rPr>
          <w:rFonts w:asciiTheme="minorHAnsi" w:hAnsiTheme="minorHAnsi" w:cstheme="minorHAnsi"/>
          <w:sz w:val="20"/>
          <w:szCs w:val="20"/>
        </w:rPr>
      </w:pPr>
      <w:r w:rsidRPr="00D70EC1">
        <w:rPr>
          <w:rFonts w:asciiTheme="minorHAnsi" w:hAnsiTheme="minorHAnsi" w:cstheme="minorHAnsi"/>
          <w:sz w:val="20"/>
          <w:szCs w:val="20"/>
        </w:rPr>
        <w:t>společnost: Teplárna Liberec, a.s.</w:t>
      </w:r>
      <w:r w:rsidR="00BB6EA5">
        <w:rPr>
          <w:rFonts w:asciiTheme="minorHAnsi" w:hAnsiTheme="minorHAnsi" w:cstheme="minorHAnsi"/>
          <w:sz w:val="20"/>
          <w:szCs w:val="20"/>
        </w:rPr>
        <w:tab/>
      </w:r>
      <w:r w:rsidRPr="00D70EC1">
        <w:rPr>
          <w:rFonts w:asciiTheme="minorHAnsi" w:hAnsiTheme="minorHAnsi" w:cstheme="minorHAnsi"/>
          <w:sz w:val="20"/>
          <w:szCs w:val="20"/>
        </w:rPr>
        <w:t xml:space="preserve">společnost: </w:t>
      </w:r>
      <w:r w:rsidR="00A047F6">
        <w:rPr>
          <w:rFonts w:asciiTheme="minorHAnsi" w:hAnsiTheme="minorHAnsi" w:cstheme="minorHAnsi"/>
          <w:sz w:val="20"/>
          <w:szCs w:val="20"/>
        </w:rPr>
        <w:t>APOSS Liberec, příspěvková organizace</w:t>
      </w:r>
    </w:p>
    <w:p w14:paraId="0744CCCA" w14:textId="77777777" w:rsidR="00D70EC1" w:rsidRPr="00D70EC1" w:rsidRDefault="00D70EC1" w:rsidP="00D70EC1">
      <w:pPr>
        <w:spacing w:after="120"/>
        <w:rPr>
          <w:rFonts w:asciiTheme="minorHAnsi" w:hAnsiTheme="minorHAnsi" w:cstheme="minorHAnsi"/>
          <w:sz w:val="20"/>
          <w:szCs w:val="20"/>
        </w:rPr>
      </w:pPr>
    </w:p>
    <w:p w14:paraId="59F328E7" w14:textId="77777777" w:rsidR="00BB6EA5" w:rsidRDefault="00D70EC1" w:rsidP="00D70EC1">
      <w:pPr>
        <w:spacing w:after="120"/>
        <w:rPr>
          <w:rFonts w:asciiTheme="minorHAnsi" w:hAnsiTheme="minorHAnsi" w:cstheme="minorHAnsi"/>
          <w:sz w:val="20"/>
          <w:szCs w:val="20"/>
        </w:rPr>
      </w:pPr>
      <w:r w:rsidRPr="00D70EC1">
        <w:rPr>
          <w:rFonts w:asciiTheme="minorHAnsi" w:hAnsiTheme="minorHAnsi" w:cstheme="minorHAnsi"/>
          <w:sz w:val="20"/>
          <w:szCs w:val="20"/>
        </w:rPr>
        <w:tab/>
      </w:r>
    </w:p>
    <w:p w14:paraId="1095B270" w14:textId="3F772C81" w:rsidR="00D70EC1" w:rsidRPr="00D70EC1" w:rsidRDefault="00D70EC1" w:rsidP="00D70EC1">
      <w:pPr>
        <w:spacing w:after="120"/>
        <w:rPr>
          <w:rFonts w:asciiTheme="minorHAnsi" w:hAnsiTheme="minorHAnsi" w:cstheme="minorHAnsi"/>
          <w:sz w:val="20"/>
          <w:szCs w:val="20"/>
        </w:rPr>
      </w:pPr>
      <w:r w:rsidRPr="00D70EC1">
        <w:rPr>
          <w:rFonts w:asciiTheme="minorHAnsi" w:hAnsiTheme="minorHAnsi" w:cstheme="minorHAnsi"/>
          <w:sz w:val="20"/>
          <w:szCs w:val="20"/>
        </w:rPr>
        <w:tab/>
      </w:r>
      <w:r w:rsidRPr="00D70EC1">
        <w:rPr>
          <w:rFonts w:asciiTheme="minorHAnsi" w:hAnsiTheme="minorHAnsi" w:cstheme="minorHAnsi"/>
          <w:sz w:val="20"/>
          <w:szCs w:val="20"/>
        </w:rPr>
        <w:tab/>
      </w:r>
      <w:r w:rsidRPr="00D70EC1">
        <w:rPr>
          <w:rFonts w:asciiTheme="minorHAnsi" w:hAnsiTheme="minorHAnsi" w:cstheme="minorHAnsi"/>
          <w:sz w:val="20"/>
          <w:szCs w:val="20"/>
        </w:rPr>
        <w:tab/>
      </w:r>
      <w:r w:rsidRPr="00D70EC1">
        <w:rPr>
          <w:rFonts w:asciiTheme="minorHAnsi" w:hAnsiTheme="minorHAnsi" w:cstheme="minorHAnsi"/>
          <w:sz w:val="20"/>
          <w:szCs w:val="20"/>
        </w:rPr>
        <w:tab/>
      </w:r>
      <w:r w:rsidRPr="00D70EC1">
        <w:rPr>
          <w:rFonts w:asciiTheme="minorHAnsi" w:hAnsiTheme="minorHAnsi" w:cstheme="minorHAnsi"/>
          <w:sz w:val="20"/>
          <w:szCs w:val="20"/>
        </w:rPr>
        <w:tab/>
      </w:r>
    </w:p>
    <w:p w14:paraId="59EB36A5" w14:textId="77777777" w:rsidR="00D70EC1" w:rsidRPr="00D70EC1" w:rsidRDefault="00D70EC1" w:rsidP="00D70EC1">
      <w:pPr>
        <w:spacing w:after="120"/>
        <w:rPr>
          <w:rFonts w:asciiTheme="minorHAnsi" w:hAnsiTheme="minorHAnsi" w:cstheme="minorHAnsi"/>
          <w:sz w:val="20"/>
          <w:szCs w:val="20"/>
        </w:rPr>
      </w:pPr>
      <w:r w:rsidRPr="00D70EC1">
        <w:rPr>
          <w:rFonts w:asciiTheme="minorHAnsi" w:hAnsiTheme="minorHAnsi" w:cstheme="minorHAnsi"/>
          <w:sz w:val="20"/>
          <w:szCs w:val="20"/>
        </w:rPr>
        <w:t>......................................</w:t>
      </w:r>
      <w:r w:rsidRPr="00D70EC1">
        <w:rPr>
          <w:rFonts w:asciiTheme="minorHAnsi" w:hAnsiTheme="minorHAnsi" w:cstheme="minorHAnsi"/>
          <w:sz w:val="20"/>
          <w:szCs w:val="20"/>
        </w:rPr>
        <w:tab/>
        <w:t>………….</w:t>
      </w:r>
      <w:r w:rsidRPr="00D70EC1">
        <w:rPr>
          <w:rFonts w:asciiTheme="minorHAnsi" w:hAnsiTheme="minorHAnsi" w:cstheme="minorHAnsi"/>
          <w:sz w:val="20"/>
          <w:szCs w:val="20"/>
        </w:rPr>
        <w:tab/>
      </w:r>
      <w:r w:rsidRPr="00D70EC1">
        <w:rPr>
          <w:rFonts w:asciiTheme="minorHAnsi" w:hAnsiTheme="minorHAnsi" w:cstheme="minorHAnsi"/>
          <w:sz w:val="20"/>
          <w:szCs w:val="20"/>
        </w:rPr>
        <w:tab/>
      </w:r>
      <w:r w:rsidRPr="00D70EC1">
        <w:rPr>
          <w:rFonts w:asciiTheme="minorHAnsi" w:hAnsiTheme="minorHAnsi" w:cstheme="minorHAnsi"/>
          <w:sz w:val="20"/>
          <w:szCs w:val="20"/>
        </w:rPr>
        <w:tab/>
      </w:r>
      <w:r w:rsidRPr="00D70EC1">
        <w:rPr>
          <w:rFonts w:asciiTheme="minorHAnsi" w:hAnsiTheme="minorHAnsi" w:cstheme="minorHAnsi"/>
          <w:sz w:val="20"/>
          <w:szCs w:val="20"/>
        </w:rPr>
        <w:tab/>
      </w:r>
      <w:r w:rsidRPr="00D70EC1">
        <w:rPr>
          <w:rFonts w:asciiTheme="minorHAnsi" w:hAnsiTheme="minorHAnsi" w:cstheme="minorHAnsi"/>
          <w:sz w:val="20"/>
          <w:szCs w:val="20"/>
        </w:rPr>
        <w:tab/>
      </w:r>
    </w:p>
    <w:p w14:paraId="2F9C4E7B" w14:textId="77777777" w:rsidR="00D70EC1" w:rsidRPr="00D70EC1" w:rsidRDefault="00D70EC1" w:rsidP="00D70EC1">
      <w:pPr>
        <w:spacing w:after="120"/>
        <w:rPr>
          <w:rFonts w:asciiTheme="minorHAnsi" w:hAnsiTheme="minorHAnsi" w:cstheme="minorHAnsi"/>
          <w:sz w:val="20"/>
          <w:szCs w:val="20"/>
        </w:rPr>
      </w:pPr>
      <w:r w:rsidRPr="00D70EC1">
        <w:rPr>
          <w:rFonts w:asciiTheme="minorHAnsi" w:hAnsiTheme="minorHAnsi" w:cstheme="minorHAnsi"/>
          <w:sz w:val="20"/>
          <w:szCs w:val="20"/>
        </w:rPr>
        <w:t>Jméno: Ing. Petr Boukal</w:t>
      </w:r>
      <w:r w:rsidRPr="00D70EC1">
        <w:rPr>
          <w:rFonts w:asciiTheme="minorHAnsi" w:hAnsiTheme="minorHAnsi" w:cstheme="minorHAnsi"/>
          <w:sz w:val="20"/>
          <w:szCs w:val="20"/>
        </w:rPr>
        <w:tab/>
      </w:r>
      <w:r w:rsidRPr="00D70EC1">
        <w:rPr>
          <w:rFonts w:asciiTheme="minorHAnsi" w:hAnsiTheme="minorHAnsi" w:cstheme="minorHAnsi"/>
          <w:sz w:val="20"/>
          <w:szCs w:val="20"/>
        </w:rPr>
        <w:tab/>
      </w:r>
      <w:r w:rsidRPr="00D70EC1">
        <w:rPr>
          <w:rFonts w:asciiTheme="minorHAnsi" w:hAnsiTheme="minorHAnsi" w:cstheme="minorHAnsi"/>
          <w:sz w:val="20"/>
          <w:szCs w:val="20"/>
        </w:rPr>
        <w:tab/>
      </w:r>
      <w:r w:rsidRPr="00D70EC1">
        <w:rPr>
          <w:rFonts w:asciiTheme="minorHAnsi" w:hAnsiTheme="minorHAnsi" w:cstheme="minorHAnsi"/>
          <w:sz w:val="20"/>
          <w:szCs w:val="20"/>
        </w:rPr>
        <w:tab/>
      </w:r>
      <w:r w:rsidRPr="00D70EC1">
        <w:rPr>
          <w:rFonts w:asciiTheme="minorHAnsi" w:hAnsiTheme="minorHAnsi" w:cstheme="minorHAnsi"/>
          <w:sz w:val="20"/>
          <w:szCs w:val="20"/>
        </w:rPr>
        <w:tab/>
      </w:r>
      <w:r w:rsidRPr="00D70EC1">
        <w:rPr>
          <w:rFonts w:asciiTheme="minorHAnsi" w:hAnsiTheme="minorHAnsi" w:cstheme="minorHAnsi"/>
          <w:sz w:val="20"/>
          <w:szCs w:val="20"/>
        </w:rPr>
        <w:tab/>
      </w:r>
      <w:r w:rsidRPr="00D70EC1">
        <w:rPr>
          <w:rFonts w:asciiTheme="minorHAnsi" w:hAnsiTheme="minorHAnsi" w:cstheme="minorHAnsi"/>
          <w:sz w:val="20"/>
          <w:szCs w:val="20"/>
        </w:rPr>
        <w:tab/>
      </w:r>
    </w:p>
    <w:p w14:paraId="1A7B85CD" w14:textId="77777777" w:rsidR="00D70EC1" w:rsidRPr="00D70EC1" w:rsidRDefault="00D70EC1" w:rsidP="00D70EC1">
      <w:pPr>
        <w:spacing w:after="120"/>
        <w:rPr>
          <w:rFonts w:asciiTheme="minorHAnsi" w:hAnsiTheme="minorHAnsi" w:cstheme="minorHAnsi"/>
          <w:sz w:val="20"/>
          <w:szCs w:val="20"/>
        </w:rPr>
      </w:pPr>
      <w:r w:rsidRPr="00D70EC1">
        <w:rPr>
          <w:rFonts w:asciiTheme="minorHAnsi" w:hAnsiTheme="minorHAnsi" w:cstheme="minorHAnsi"/>
          <w:sz w:val="20"/>
          <w:szCs w:val="20"/>
        </w:rPr>
        <w:t>Funkce: Místopředseda představenstva</w:t>
      </w:r>
      <w:r w:rsidRPr="00D70EC1">
        <w:rPr>
          <w:rFonts w:asciiTheme="minorHAnsi" w:hAnsiTheme="minorHAnsi" w:cstheme="minorHAnsi"/>
          <w:sz w:val="20"/>
          <w:szCs w:val="20"/>
        </w:rPr>
        <w:tab/>
      </w:r>
    </w:p>
    <w:p w14:paraId="7EFB7438" w14:textId="3409B115" w:rsidR="00F103E7" w:rsidRPr="00D70EC1" w:rsidRDefault="00D70EC1" w:rsidP="001C2C49">
      <w:pPr>
        <w:spacing w:after="120"/>
        <w:rPr>
          <w:rFonts w:asciiTheme="minorHAnsi" w:hAnsiTheme="minorHAnsi" w:cstheme="minorHAnsi"/>
          <w:sz w:val="20"/>
          <w:szCs w:val="20"/>
        </w:rPr>
      </w:pPr>
      <w:r w:rsidRPr="00D70EC1">
        <w:rPr>
          <w:rFonts w:asciiTheme="minorHAnsi" w:hAnsiTheme="minorHAnsi" w:cstheme="minorHAnsi"/>
          <w:sz w:val="20"/>
          <w:szCs w:val="20"/>
        </w:rPr>
        <w:t>společnost: Teplárna Liberec, a.s.</w:t>
      </w:r>
      <w:r w:rsidRPr="00D70EC1">
        <w:rPr>
          <w:rFonts w:asciiTheme="minorHAnsi" w:hAnsiTheme="minorHAnsi" w:cstheme="minorHAnsi"/>
          <w:sz w:val="20"/>
          <w:szCs w:val="20"/>
        </w:rPr>
        <w:tab/>
      </w:r>
    </w:p>
    <w:sectPr w:rsidR="00F103E7" w:rsidRPr="00D70EC1" w:rsidSect="00FE2341">
      <w:headerReference w:type="default" r:id="rId9"/>
      <w:footerReference w:type="default" r:id="rId10"/>
      <w:headerReference w:type="first" r:id="rId11"/>
      <w:footerReference w:type="first" r:id="rId12"/>
      <w:pgSz w:w="11906" w:h="16838" w:code="9"/>
      <w:pgMar w:top="1417" w:right="1417" w:bottom="1417" w:left="1417" w:header="568" w:footer="232"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BE24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DF70FB" w16cex:dateUtc="2024-11-19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BE243D" w16cid:durableId="24DF70F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ABEB39" w14:textId="77777777" w:rsidR="009A3C18" w:rsidRPr="00864B4F" w:rsidRDefault="009A3C18">
      <w:r w:rsidRPr="00864B4F">
        <w:separator/>
      </w:r>
    </w:p>
  </w:endnote>
  <w:endnote w:type="continuationSeparator" w:id="0">
    <w:p w14:paraId="10869227" w14:textId="77777777" w:rsidR="009A3C18" w:rsidRPr="00864B4F" w:rsidRDefault="009A3C18">
      <w:r w:rsidRPr="00864B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7"/>
        <w:szCs w:val="15"/>
      </w:rPr>
      <w:id w:val="954139536"/>
      <w:docPartObj>
        <w:docPartGallery w:val="Page Numbers (Bottom of Page)"/>
        <w:docPartUnique/>
      </w:docPartObj>
    </w:sdtPr>
    <w:sdtEndPr>
      <w:rPr>
        <w:sz w:val="14"/>
        <w:szCs w:val="14"/>
      </w:rPr>
    </w:sdtEndPr>
    <w:sdtContent>
      <w:p w14:paraId="09441AAE" w14:textId="1469DC99" w:rsidR="003D6C04" w:rsidRPr="00864B4F" w:rsidRDefault="003D6C04" w:rsidP="003D6C04">
        <w:pPr>
          <w:pStyle w:val="ra"/>
          <w:pBdr>
            <w:bottom w:val="none" w:sz="0" w:space="0" w:color="auto"/>
          </w:pBdr>
          <w:spacing w:after="120"/>
          <w:jc w:val="both"/>
        </w:pPr>
      </w:p>
      <w:p w14:paraId="14C028A8" w14:textId="77777777" w:rsidR="003D6C04" w:rsidRPr="00864B4F" w:rsidRDefault="003D6C04" w:rsidP="003D6C04">
        <w:pPr>
          <w:pStyle w:val="Zpat"/>
          <w:rPr>
            <w:color w:val="003760" w:themeColor="accent3" w:themeShade="80"/>
          </w:rPr>
        </w:pPr>
      </w:p>
      <w:p w14:paraId="2AE46549" w14:textId="77777777" w:rsidR="003D6C04" w:rsidRPr="00043617" w:rsidRDefault="003D6C04" w:rsidP="003D6C04">
        <w:pPr>
          <w:pStyle w:val="Zpat"/>
        </w:pPr>
      </w:p>
      <w:sdt>
        <w:sdtPr>
          <w:rPr>
            <w:sz w:val="14"/>
            <w:szCs w:val="14"/>
          </w:rPr>
          <w:id w:val="1728636285"/>
          <w:docPartObj>
            <w:docPartGallery w:val="Page Numbers (Top of Page)"/>
            <w:docPartUnique/>
          </w:docPartObj>
        </w:sdtPr>
        <w:sdtEndPr/>
        <w:sdtContent>
          <w:p w14:paraId="543E5AAE" w14:textId="58361899" w:rsidR="003D6C04" w:rsidRPr="00043617" w:rsidRDefault="003D6C04">
            <w:pPr>
              <w:pStyle w:val="Zpat"/>
              <w:jc w:val="center"/>
              <w:rPr>
                <w:sz w:val="14"/>
                <w:szCs w:val="14"/>
              </w:rPr>
            </w:pPr>
            <w:r w:rsidRPr="00043617">
              <w:rPr>
                <w:b/>
                <w:bCs/>
                <w:sz w:val="14"/>
                <w:szCs w:val="14"/>
              </w:rPr>
              <w:fldChar w:fldCharType="begin"/>
            </w:r>
            <w:r w:rsidRPr="00043617">
              <w:rPr>
                <w:b/>
                <w:bCs/>
                <w:sz w:val="14"/>
                <w:szCs w:val="14"/>
              </w:rPr>
              <w:instrText>PAGE</w:instrText>
            </w:r>
            <w:r w:rsidRPr="00043617">
              <w:rPr>
                <w:b/>
                <w:bCs/>
                <w:sz w:val="14"/>
                <w:szCs w:val="14"/>
              </w:rPr>
              <w:fldChar w:fldCharType="separate"/>
            </w:r>
            <w:r w:rsidR="007B75AC">
              <w:rPr>
                <w:b/>
                <w:bCs/>
                <w:sz w:val="14"/>
                <w:szCs w:val="14"/>
              </w:rPr>
              <w:t>10</w:t>
            </w:r>
            <w:r w:rsidRPr="00043617">
              <w:rPr>
                <w:b/>
                <w:bCs/>
                <w:sz w:val="14"/>
                <w:szCs w:val="14"/>
              </w:rPr>
              <w:fldChar w:fldCharType="end"/>
            </w:r>
            <w:r w:rsidRPr="00043617">
              <w:rPr>
                <w:sz w:val="14"/>
                <w:szCs w:val="14"/>
              </w:rPr>
              <w:t xml:space="preserve"> z </w:t>
            </w:r>
            <w:r w:rsidRPr="00043617">
              <w:rPr>
                <w:b/>
                <w:bCs/>
                <w:sz w:val="14"/>
                <w:szCs w:val="14"/>
              </w:rPr>
              <w:fldChar w:fldCharType="begin"/>
            </w:r>
            <w:r w:rsidRPr="00043617">
              <w:rPr>
                <w:b/>
                <w:bCs/>
                <w:sz w:val="14"/>
                <w:szCs w:val="14"/>
              </w:rPr>
              <w:instrText>NUMPAGES</w:instrText>
            </w:r>
            <w:r w:rsidRPr="00043617">
              <w:rPr>
                <w:b/>
                <w:bCs/>
                <w:sz w:val="14"/>
                <w:szCs w:val="14"/>
              </w:rPr>
              <w:fldChar w:fldCharType="separate"/>
            </w:r>
            <w:r w:rsidR="007B75AC">
              <w:rPr>
                <w:b/>
                <w:bCs/>
                <w:sz w:val="14"/>
                <w:szCs w:val="14"/>
              </w:rPr>
              <w:t>10</w:t>
            </w:r>
            <w:r w:rsidRPr="00043617">
              <w:rPr>
                <w:b/>
                <w:bCs/>
                <w:sz w:val="14"/>
                <w:szCs w:val="14"/>
              </w:rPr>
              <w:fldChar w:fldCharType="end"/>
            </w:r>
          </w:p>
        </w:sdtContent>
      </w:sdt>
    </w:sdtContent>
  </w:sdt>
  <w:p w14:paraId="0FA3090E" w14:textId="77777777" w:rsidR="003D6C04" w:rsidRPr="00D707BD" w:rsidRDefault="003D6C04" w:rsidP="003D6C04">
    <w:pPr>
      <w:pStyle w:val="Zpat"/>
      <w:jc w:val="center"/>
      <w:rPr>
        <w:color w:val="02509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7E344" w14:textId="77777777" w:rsidR="00196C6D" w:rsidRPr="00864B4F" w:rsidRDefault="00196C6D" w:rsidP="00196C6D">
    <w:pPr>
      <w:pStyle w:val="ra"/>
      <w:spacing w:after="120"/>
    </w:pPr>
  </w:p>
  <w:p w14:paraId="7A466571" w14:textId="77777777" w:rsidR="00194CAB" w:rsidRPr="00864B4F" w:rsidRDefault="00194CAB" w:rsidP="00194CAB">
    <w:pPr>
      <w:pStyle w:val="Zpat"/>
    </w:pPr>
    <w:r w:rsidRPr="00864B4F">
      <w:t>Teplárna Liberec, a.s.</w:t>
    </w:r>
    <w:r w:rsidRPr="00864B4F">
      <w:tab/>
      <w:t>IČO: 62241672, DIČ: CZ62241672</w:t>
    </w:r>
  </w:p>
  <w:p w14:paraId="79AE93A9" w14:textId="77777777" w:rsidR="00194CAB" w:rsidRPr="00864B4F" w:rsidRDefault="00194CAB" w:rsidP="00194CAB">
    <w:pPr>
      <w:pStyle w:val="Zpat"/>
    </w:pPr>
    <w:r w:rsidRPr="00864B4F">
      <w:t>Dr. Milady Horákové 641/34a, 460 01 Liberec</w:t>
    </w:r>
    <w:r w:rsidRPr="00864B4F">
      <w:tab/>
      <w:t>Krajský soud Ústí nad Labem, odd. B, vložka 653</w:t>
    </w:r>
  </w:p>
  <w:p w14:paraId="3963C516" w14:textId="5036CEF8" w:rsidR="00906B46" w:rsidRPr="00864B4F" w:rsidRDefault="00D02D9A" w:rsidP="00194CAB">
    <w:pPr>
      <w:pStyle w:val="Zpat"/>
    </w:pPr>
    <w:r w:rsidRPr="00864B4F">
      <w:t>telefon:</w:t>
    </w:r>
    <w:r w:rsidR="00194CAB" w:rsidRPr="00864B4F">
      <w:t xml:space="preserve"> +420 485 386 111, </w:t>
    </w:r>
    <w:r w:rsidRPr="00864B4F">
      <w:t xml:space="preserve">e-mail: </w:t>
    </w:r>
    <w:r w:rsidR="00194CAB" w:rsidRPr="00864B4F">
      <w:t>tli@</w:t>
    </w:r>
    <w:r w:rsidR="00F103E7" w:rsidRPr="00864B4F">
      <w:t>enetiqa</w:t>
    </w:r>
    <w:r w:rsidR="00194CAB" w:rsidRPr="00864B4F">
      <w:t>.cz</w:t>
    </w:r>
    <w:r w:rsidR="00194CAB" w:rsidRPr="00864B4F">
      <w:tab/>
    </w:r>
    <w:r w:rsidR="00910C0B" w:rsidRPr="00864B4F">
      <w:t>č. ú. 3297950237/0100 Komerční banka, 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FD09B8" w14:textId="77777777" w:rsidR="009A3C18" w:rsidRPr="00864B4F" w:rsidRDefault="009A3C18">
      <w:r w:rsidRPr="00864B4F">
        <w:separator/>
      </w:r>
    </w:p>
  </w:footnote>
  <w:footnote w:type="continuationSeparator" w:id="0">
    <w:p w14:paraId="6506EE8B" w14:textId="77777777" w:rsidR="009A3C18" w:rsidRPr="00864B4F" w:rsidRDefault="009A3C18">
      <w:r w:rsidRPr="00864B4F">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F04C7" w14:textId="361E8335" w:rsidR="00F103E7" w:rsidRPr="00864B4F" w:rsidRDefault="00B66402" w:rsidP="00F103E7">
    <w:pPr>
      <w:pBdr>
        <w:top w:val="nil"/>
        <w:left w:val="nil"/>
        <w:bottom w:val="single" w:sz="6" w:space="1" w:color="auto"/>
        <w:right w:val="nil"/>
        <w:between w:val="nil"/>
      </w:pBdr>
      <w:tabs>
        <w:tab w:val="left" w:pos="5865"/>
      </w:tabs>
      <w:spacing w:before="780" w:line="240" w:lineRule="auto"/>
      <w:rPr>
        <w:b/>
        <w:color w:val="000000"/>
        <w:sz w:val="18"/>
        <w:szCs w:val="18"/>
      </w:rPr>
    </w:pPr>
    <w:r w:rsidRPr="00864B4F">
      <w:drawing>
        <wp:anchor distT="0" distB="0" distL="114300" distR="114300" simplePos="0" relativeHeight="251666944" behindDoc="1" locked="0" layoutInCell="1" allowOverlap="1" wp14:anchorId="4B9C6504" wp14:editId="7B909F10">
          <wp:simplePos x="0" y="0"/>
          <wp:positionH relativeFrom="margin">
            <wp:posOffset>5234940</wp:posOffset>
          </wp:positionH>
          <wp:positionV relativeFrom="paragraph">
            <wp:posOffset>-8890</wp:posOffset>
          </wp:positionV>
          <wp:extent cx="708660" cy="708660"/>
          <wp:effectExtent l="0" t="0" r="0" b="0"/>
          <wp:wrapNone/>
          <wp:docPr id="80844871" name="Obrázek 80844871" descr="Obsah obrázku černá, Grafika, symbol, hvěz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18702" name="Obrázek 4" descr="Obsah obrázku černá, Grafika, symbol, hvězda&#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14:sizeRelH relativeFrom="margin">
            <wp14:pctWidth>0</wp14:pctWidth>
          </wp14:sizeRelH>
          <wp14:sizeRelV relativeFrom="margin">
            <wp14:pctHeight>0</wp14:pctHeight>
          </wp14:sizeRelV>
        </wp:anchor>
      </w:drawing>
    </w:r>
    <w:r w:rsidRPr="00864B4F">
      <w:drawing>
        <wp:anchor distT="0" distB="0" distL="114300" distR="114300" simplePos="0" relativeHeight="251665920" behindDoc="1" locked="0" layoutInCell="1" allowOverlap="1" wp14:anchorId="20147C78" wp14:editId="7ECB1BE8">
          <wp:simplePos x="0" y="0"/>
          <wp:positionH relativeFrom="column">
            <wp:posOffset>-95250</wp:posOffset>
          </wp:positionH>
          <wp:positionV relativeFrom="paragraph">
            <wp:posOffset>17780</wp:posOffset>
          </wp:positionV>
          <wp:extent cx="2164080" cy="914400"/>
          <wp:effectExtent l="0" t="0" r="7620" b="0"/>
          <wp:wrapNone/>
          <wp:docPr id="1770856700" name="Obrázek 1770856700" descr="Obsah obrázku text, logo,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93100" name="Obrázek 3" descr="Obsah obrázku text, logo, Písmo, snímek obrazovky&#10;&#10;Popis byl vytvořen automaticky"/>
                  <pic:cNvPicPr/>
                </pic:nvPicPr>
                <pic:blipFill rotWithShape="1">
                  <a:blip r:embed="rId2">
                    <a:extLst>
                      <a:ext uri="{28A0092B-C50C-407E-A947-70E740481C1C}">
                        <a14:useLocalDpi xmlns:a14="http://schemas.microsoft.com/office/drawing/2010/main" val="0"/>
                      </a:ext>
                    </a:extLst>
                  </a:blip>
                  <a:srcRect l="32745" t="39079" r="31895" b="39797"/>
                  <a:stretch/>
                </pic:blipFill>
                <pic:spPr bwMode="auto">
                  <a:xfrm>
                    <a:off x="0" y="0"/>
                    <a:ext cx="2164080" cy="914400"/>
                  </a:xfrm>
                  <a:prstGeom prst="rect">
                    <a:avLst/>
                  </a:prstGeom>
                  <a:ln>
                    <a:noFill/>
                  </a:ln>
                  <a:extLst>
                    <a:ext uri="{53640926-AAD7-44D8-BBD7-CCE9431645EC}">
                      <a14:shadowObscured xmlns:a14="http://schemas.microsoft.com/office/drawing/2010/main"/>
                    </a:ext>
                  </a:extLst>
                </pic:spPr>
              </pic:pic>
            </a:graphicData>
          </a:graphic>
        </wp:anchor>
      </w:drawing>
    </w:r>
    <w:r w:rsidR="00F103E7" w:rsidRPr="00864B4F">
      <mc:AlternateContent>
        <mc:Choice Requires="wps">
          <w:drawing>
            <wp:anchor distT="0" distB="0" distL="114300" distR="114300" simplePos="0" relativeHeight="251658752" behindDoc="0" locked="0" layoutInCell="1" hidden="0" allowOverlap="1" wp14:anchorId="277F01BD" wp14:editId="666E6F01">
              <wp:simplePos x="0" y="0"/>
              <wp:positionH relativeFrom="column">
                <wp:posOffset>25401</wp:posOffset>
              </wp:positionH>
              <wp:positionV relativeFrom="paragraph">
                <wp:posOffset>1079500</wp:posOffset>
              </wp:positionV>
              <wp:extent cx="0" cy="12700"/>
              <wp:effectExtent l="0" t="0" r="0" b="0"/>
              <wp:wrapNone/>
              <wp:docPr id="2" name="Přímá spojovací šipka 22"/>
              <wp:cNvGraphicFramePr/>
              <a:graphic xmlns:a="http://schemas.openxmlformats.org/drawingml/2006/main">
                <a:graphicData uri="http://schemas.microsoft.com/office/word/2010/wordprocessingShape">
                  <wps:wsp>
                    <wps:cNvCnPr/>
                    <wps:spPr>
                      <a:xfrm>
                        <a:off x="2279903" y="3780000"/>
                        <a:ext cx="6132195" cy="0"/>
                      </a:xfrm>
                      <a:prstGeom prst="straightConnector1">
                        <a:avLst/>
                      </a:prstGeom>
                      <a:noFill/>
                      <a:ln w="9525" cap="flat" cmpd="sng">
                        <a:solidFill>
                          <a:srgbClr val="D8D8D8"/>
                        </a:solidFill>
                        <a:prstDash val="solid"/>
                        <a:round/>
                        <a:headEnd type="none" w="sm" len="sm"/>
                        <a:tailEnd type="none" w="sm" len="sm"/>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4EDD06" id="_x0000_t32" coordsize="21600,21600" o:spt="32" o:oned="t" path="m,l21600,21600e" filled="f">
              <v:path arrowok="t" fillok="f" o:connecttype="none"/>
              <o:lock v:ext="edit" shapetype="t"/>
            </v:shapetype>
            <v:shape id="Přímá spojovací šipka 22" o:spid="_x0000_s1026" type="#_x0000_t32" style="position:absolute;margin-left:2pt;margin-top:85pt;width:0;height:1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" strokecolor="#d8d8d8">
              <v:stroke startarrowwidth="narrow" startarrowlength="short" endarrowwidth="narrow" endarrowlength="short"/>
            </v:shape>
          </w:pict>
        </mc:Fallback>
      </mc:AlternateContent>
    </w:r>
    <w:r w:rsidR="00F103E7" w:rsidRPr="00864B4F">
      <mc:AlternateContent>
        <mc:Choice Requires="wps">
          <w:drawing>
            <wp:anchor distT="0" distB="0" distL="114300" distR="114300" simplePos="0" relativeHeight="251664896" behindDoc="0" locked="0" layoutInCell="1" hidden="0" allowOverlap="1" wp14:anchorId="1AD567E4" wp14:editId="1F78F60B">
              <wp:simplePos x="0" y="0"/>
              <wp:positionH relativeFrom="column">
                <wp:posOffset>1</wp:posOffset>
              </wp:positionH>
              <wp:positionV relativeFrom="paragraph">
                <wp:posOffset>1066800</wp:posOffset>
              </wp:positionV>
              <wp:extent cx="0" cy="12700"/>
              <wp:effectExtent l="0" t="0" r="0" b="0"/>
              <wp:wrapNone/>
              <wp:docPr id="3" name="Přímá spojovací šipka 25"/>
              <wp:cNvGraphicFramePr/>
              <a:graphic xmlns:a="http://schemas.openxmlformats.org/drawingml/2006/main">
                <a:graphicData uri="http://schemas.microsoft.com/office/word/2010/wordprocessingShape">
                  <wps:wsp>
                    <wps:cNvCnPr/>
                    <wps:spPr>
                      <a:xfrm>
                        <a:off x="2279607" y="3780000"/>
                        <a:ext cx="6132787" cy="0"/>
                      </a:xfrm>
                      <a:prstGeom prst="straightConnector1">
                        <a:avLst/>
                      </a:prstGeom>
                      <a:noFill/>
                      <a:ln w="9525" cap="flat" cmpd="sng">
                        <a:solidFill>
                          <a:srgbClr val="D8D8D8"/>
                        </a:solidFill>
                        <a:prstDash val="solid"/>
                        <a:round/>
                        <a:headEnd type="none" w="sm" len="sm"/>
                        <a:tailEnd type="none" w="sm" len="sm"/>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E8877" id="Přímá spojovací šipka 25" o:spid="_x0000_s1026" type="#_x0000_t32" style="position:absolute;margin-left:0;margin-top:84pt;width:0;height:1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" strokecolor="#d8d8d8">
              <v:stroke startarrowwidth="narrow" startarrowlength="short" endarrowwidth="narrow" endarrowlength="short"/>
            </v:shape>
          </w:pict>
        </mc:Fallback>
      </mc:AlternateContent>
    </w:r>
  </w:p>
  <w:p w14:paraId="5CEB5110" w14:textId="77777777" w:rsidR="00664266" w:rsidRPr="00864B4F" w:rsidRDefault="00664266" w:rsidP="006946AA">
    <w:pPr>
      <w:pBdr>
        <w:left w:val="nil"/>
        <w:bottom w:val="nil"/>
        <w:right w:val="nil"/>
        <w:between w:val="nil"/>
      </w:pBdr>
      <w:tabs>
        <w:tab w:val="left" w:pos="5865"/>
      </w:tabs>
      <w:spacing w:before="780" w:line="240" w:lineRule="auto"/>
      <w:jc w:val="center"/>
      <w:rPr>
        <w:b/>
        <w:color w:val="00000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CF641" w14:textId="77777777" w:rsidR="00F103E7" w:rsidRPr="00864B4F" w:rsidRDefault="00F103E7" w:rsidP="00F103E7">
    <w:pPr>
      <w:pBdr>
        <w:top w:val="nil"/>
        <w:left w:val="nil"/>
        <w:bottom w:val="nil"/>
        <w:right w:val="nil"/>
        <w:between w:val="nil"/>
      </w:pBdr>
      <w:tabs>
        <w:tab w:val="left" w:pos="5865"/>
      </w:tabs>
      <w:spacing w:before="780" w:line="240" w:lineRule="auto"/>
      <w:rPr>
        <w:b/>
        <w:color w:val="000000"/>
        <w:sz w:val="18"/>
        <w:szCs w:val="18"/>
      </w:rPr>
    </w:pPr>
    <w:bookmarkStart w:id="6" w:name="_Hlk127430083"/>
    <w:bookmarkStart w:id="7" w:name="_Hlk127430084"/>
    <w:bookmarkStart w:id="8" w:name="_Hlk127518336"/>
    <w:bookmarkStart w:id="9" w:name="_Hlk127518337"/>
    <w:bookmarkStart w:id="10" w:name="_Hlk127518353"/>
    <w:bookmarkStart w:id="11" w:name="_Hlk127518354"/>
    <w:bookmarkStart w:id="12" w:name="_Hlk127518408"/>
    <w:bookmarkStart w:id="13" w:name="_Hlk127518409"/>
    <w:bookmarkStart w:id="14" w:name="_Hlk127518430"/>
    <w:bookmarkStart w:id="15" w:name="_Hlk127518431"/>
    <w:bookmarkStart w:id="16" w:name="_Hlk127518470"/>
    <w:bookmarkStart w:id="17" w:name="_Hlk127518471"/>
    <w:bookmarkStart w:id="18" w:name="_Hlk127518540"/>
    <w:bookmarkStart w:id="19" w:name="_Hlk127518541"/>
    <w:bookmarkStart w:id="20" w:name="_Hlk127518763"/>
    <w:bookmarkStart w:id="21" w:name="_Hlk127518764"/>
    <w:bookmarkStart w:id="22" w:name="_Hlk127518789"/>
    <w:bookmarkStart w:id="23" w:name="_Hlk127518790"/>
    <w:bookmarkStart w:id="24" w:name="_Hlk127518822"/>
    <w:bookmarkStart w:id="25" w:name="_Hlk127518823"/>
    <w:bookmarkStart w:id="26" w:name="_Hlk127518842"/>
    <w:bookmarkStart w:id="27" w:name="_Hlk127518843"/>
    <w:bookmarkStart w:id="28" w:name="_Hlk127518920"/>
    <w:bookmarkStart w:id="29" w:name="_Hlk127518921"/>
    <w:bookmarkStart w:id="30" w:name="_Hlk127518965"/>
    <w:bookmarkStart w:id="31" w:name="_Hlk127518966"/>
    <w:bookmarkStart w:id="32" w:name="_Hlk127519112"/>
    <w:bookmarkStart w:id="33" w:name="_Hlk127519113"/>
    <w:bookmarkStart w:id="34" w:name="_Hlk127519116"/>
    <w:bookmarkStart w:id="35" w:name="_Hlk127519117"/>
    <w:bookmarkStart w:id="36" w:name="_Hlk127519136"/>
    <w:bookmarkStart w:id="37" w:name="_Hlk127519137"/>
    <w:bookmarkStart w:id="38" w:name="_Hlk127519167"/>
    <w:bookmarkStart w:id="39" w:name="_Hlk127519168"/>
    <w:bookmarkStart w:id="40" w:name="_Hlk127519187"/>
    <w:bookmarkStart w:id="41" w:name="_Hlk127519188"/>
    <w:bookmarkStart w:id="42" w:name="_Hlk127519224"/>
    <w:bookmarkStart w:id="43" w:name="_Hlk127519225"/>
    <w:bookmarkStart w:id="44" w:name="_Hlk127519278"/>
    <w:bookmarkStart w:id="45" w:name="_Hlk127519279"/>
    <w:bookmarkStart w:id="46" w:name="_Hlk127519438"/>
    <w:bookmarkStart w:id="47" w:name="_Hlk127519439"/>
    <w:bookmarkStart w:id="48" w:name="_Hlk127519459"/>
    <w:bookmarkStart w:id="49" w:name="_Hlk127519460"/>
    <w:bookmarkStart w:id="50" w:name="_Hlk127519500"/>
    <w:bookmarkStart w:id="51" w:name="_Hlk127519501"/>
    <w:bookmarkStart w:id="52" w:name="_Hlk127519518"/>
    <w:bookmarkStart w:id="53" w:name="_Hlk127519519"/>
    <w:bookmarkStart w:id="54" w:name="_Hlk127519576"/>
    <w:bookmarkStart w:id="55" w:name="_Hlk127519577"/>
    <w:bookmarkStart w:id="56" w:name="_Hlk127519646"/>
    <w:bookmarkStart w:id="57" w:name="_Hlk127519647"/>
    <w:bookmarkStart w:id="58" w:name="_Hlk127519824"/>
    <w:bookmarkStart w:id="59" w:name="_Hlk127519825"/>
    <w:bookmarkStart w:id="60" w:name="_Hlk127519841"/>
    <w:bookmarkStart w:id="61" w:name="_Hlk127519842"/>
    <w:bookmarkStart w:id="62" w:name="_Hlk127519872"/>
    <w:bookmarkStart w:id="63" w:name="_Hlk127519873"/>
    <w:bookmarkStart w:id="64" w:name="_Hlk127519884"/>
    <w:bookmarkStart w:id="65" w:name="_Hlk127519885"/>
    <w:bookmarkStart w:id="66" w:name="_Hlk127519917"/>
    <w:bookmarkStart w:id="67" w:name="_Hlk127519918"/>
    <w:bookmarkStart w:id="68" w:name="_Hlk127519962"/>
    <w:bookmarkStart w:id="69" w:name="_Hlk127519963"/>
    <w:r w:rsidRPr="00864B4F">
      <w:drawing>
        <wp:anchor distT="0" distB="0" distL="114300" distR="114300" simplePos="0" relativeHeight="251650560" behindDoc="0" locked="0" layoutInCell="1" allowOverlap="1" wp14:anchorId="691356D7" wp14:editId="3AE75CB6">
          <wp:simplePos x="0" y="0"/>
          <wp:positionH relativeFrom="column">
            <wp:posOffset>-269605</wp:posOffset>
          </wp:positionH>
          <wp:positionV relativeFrom="paragraph">
            <wp:posOffset>-108634</wp:posOffset>
          </wp:positionV>
          <wp:extent cx="2525903" cy="1266092"/>
          <wp:effectExtent l="0" t="0" r="0" b="0"/>
          <wp:wrapNone/>
          <wp:docPr id="1938733054" name="Obrázek 193873305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5903" cy="1266092"/>
                  </a:xfrm>
                  <a:prstGeom prst="rect">
                    <a:avLst/>
                  </a:prstGeom>
                </pic:spPr>
              </pic:pic>
            </a:graphicData>
          </a:graphic>
          <wp14:sizeRelH relativeFrom="page">
            <wp14:pctWidth>0</wp14:pctWidth>
          </wp14:sizeRelH>
          <wp14:sizeRelV relativeFrom="page">
            <wp14:pctHeight>0</wp14:pctHeight>
          </wp14:sizeRelV>
        </wp:anchor>
      </w:drawing>
    </w:r>
    <w:r w:rsidRPr="00864B4F">
      <mc:AlternateContent>
        <mc:Choice Requires="wps">
          <w:drawing>
            <wp:anchor distT="0" distB="0" distL="114300" distR="114300" simplePos="0" relativeHeight="251652608" behindDoc="0" locked="0" layoutInCell="1" hidden="0" allowOverlap="1" wp14:anchorId="1EFBC379" wp14:editId="1EFDB2AC">
              <wp:simplePos x="0" y="0"/>
              <wp:positionH relativeFrom="column">
                <wp:posOffset>3911600</wp:posOffset>
              </wp:positionH>
              <wp:positionV relativeFrom="paragraph">
                <wp:posOffset>593725</wp:posOffset>
              </wp:positionV>
              <wp:extent cx="2374265" cy="347016"/>
              <wp:effectExtent l="0" t="0" r="0" b="0"/>
              <wp:wrapNone/>
              <wp:docPr id="24" name="Obdélník 24"/>
              <wp:cNvGraphicFramePr/>
              <a:graphic xmlns:a="http://schemas.openxmlformats.org/drawingml/2006/main">
                <a:graphicData uri="http://schemas.microsoft.com/office/word/2010/wordprocessingShape">
                  <wps:wsp>
                    <wps:cNvSpPr/>
                    <wps:spPr>
                      <a:xfrm>
                        <a:off x="0" y="0"/>
                        <a:ext cx="2374265" cy="347016"/>
                      </a:xfrm>
                      <a:prstGeom prst="rect">
                        <a:avLst/>
                      </a:prstGeom>
                      <a:noFill/>
                      <a:ln>
                        <a:noFill/>
                      </a:ln>
                    </wps:spPr>
                    <wps:txbx>
                      <w:txbxContent>
                        <w:p w14:paraId="00D32163" w14:textId="77777777" w:rsidR="00F103E7" w:rsidRPr="00864B4F" w:rsidRDefault="00F103E7" w:rsidP="00F103E7">
                          <w:pPr>
                            <w:jc w:val="right"/>
                            <w:textDirection w:val="btLr"/>
                          </w:pPr>
                          <w:r w:rsidRPr="00864B4F">
                            <w:rPr>
                              <w:color w:val="000000"/>
                              <w:sz w:val="16"/>
                            </w:rPr>
                            <w:t>www.tli.enetiqa.cz</w:t>
                          </w:r>
                        </w:p>
                      </w:txbxContent>
                    </wps:txbx>
                    <wps:bodyPr spcFirstLastPara="1" wrap="square" lIns="91425" tIns="45700" rIns="91425" bIns="45700" anchor="ctr" anchorCtr="0">
                      <a:noAutofit/>
                    </wps:bodyPr>
                  </wps:wsp>
                </a:graphicData>
              </a:graphic>
            </wp:anchor>
          </w:drawing>
        </mc:Choice>
        <mc:Fallback>
          <w:pict>
            <v:rect id="Obdélník 24" o:spid="_x0000_s1026" style="position:absolute;left:0;text-align:left;margin-left:308pt;margin-top:46.75pt;width:186.95pt;height:27.3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" filled="f" stroked="f">
              <v:textbox inset="2.53958mm,1.2694mm,2.53958mm,1.2694mm">
                <w:txbxContent>
                  <w:p w14:paraId="00D32163" w14:textId="77777777" w:rsidR="00F103E7" w:rsidRPr="00864B4F" w:rsidRDefault="00F103E7" w:rsidP="00F103E7">
                    <w:pPr>
                      <w:jc w:val="right"/>
                      <w:textDirection w:val="btLr"/>
                    </w:pPr>
                    <w:r w:rsidRPr="00864B4F">
                      <w:rPr>
                        <w:color w:val="000000"/>
                        <w:sz w:val="16"/>
                      </w:rPr>
                      <w:t>www.tli.enetiqa.cz</w:t>
                    </w:r>
                  </w:p>
                </w:txbxContent>
              </v:textbox>
            </v:rect>
          </w:pict>
        </mc:Fallback>
      </mc:AlternateContent>
    </w:r>
    <w:r w:rsidRPr="00864B4F">
      <w:drawing>
        <wp:anchor distT="0" distB="0" distL="114300" distR="114300" simplePos="0" relativeHeight="251653632" behindDoc="0" locked="0" layoutInCell="1" hidden="0" allowOverlap="1" wp14:anchorId="397AC585" wp14:editId="05BC2889">
          <wp:simplePos x="0" y="0"/>
          <wp:positionH relativeFrom="column">
            <wp:posOffset>5388610</wp:posOffset>
          </wp:positionH>
          <wp:positionV relativeFrom="paragraph">
            <wp:posOffset>-69215</wp:posOffset>
          </wp:positionV>
          <wp:extent cx="767080" cy="767080"/>
          <wp:effectExtent l="0" t="0" r="0" b="0"/>
          <wp:wrapNone/>
          <wp:docPr id="2092467761" name="Obrázek 2092467761" descr="Obsah obrázku šipka&#10;&#10;Popis byl vytvořen automaticky"/>
          <wp:cNvGraphicFramePr/>
          <a:graphic xmlns:a="http://schemas.openxmlformats.org/drawingml/2006/main">
            <a:graphicData uri="http://schemas.openxmlformats.org/drawingml/2006/picture">
              <pic:pic xmlns:pic="http://schemas.openxmlformats.org/drawingml/2006/picture">
                <pic:nvPicPr>
                  <pic:cNvPr id="30" name="image1.jpg" descr="Obsah obrázku šipka&#10;&#10;Popis byl vytvořen automaticky"/>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67080" cy="767080"/>
                  </a:xfrm>
                  <a:prstGeom prst="rect">
                    <a:avLst/>
                  </a:prstGeom>
                  <a:ln/>
                </pic:spPr>
              </pic:pic>
            </a:graphicData>
          </a:graphic>
        </wp:anchor>
      </w:drawing>
    </w:r>
    <w:r w:rsidRPr="00864B4F">
      <mc:AlternateContent>
        <mc:Choice Requires="wps">
          <w:drawing>
            <wp:anchor distT="0" distB="0" distL="114300" distR="114300" simplePos="0" relativeHeight="251651584" behindDoc="0" locked="0" layoutInCell="1" hidden="0" allowOverlap="1" wp14:anchorId="1527B232" wp14:editId="58DC8596">
              <wp:simplePos x="0" y="0"/>
              <wp:positionH relativeFrom="column">
                <wp:posOffset>25401</wp:posOffset>
              </wp:positionH>
              <wp:positionV relativeFrom="paragraph">
                <wp:posOffset>1079500</wp:posOffset>
              </wp:positionV>
              <wp:extent cx="0" cy="12700"/>
              <wp:effectExtent l="0" t="0" r="0" b="0"/>
              <wp:wrapNone/>
              <wp:docPr id="22" name="Přímá spojovací šipka 22"/>
              <wp:cNvGraphicFramePr/>
              <a:graphic xmlns:a="http://schemas.openxmlformats.org/drawingml/2006/main">
                <a:graphicData uri="http://schemas.microsoft.com/office/word/2010/wordprocessingShape">
                  <wps:wsp>
                    <wps:cNvCnPr/>
                    <wps:spPr>
                      <a:xfrm>
                        <a:off x="2279903" y="3780000"/>
                        <a:ext cx="6132195" cy="0"/>
                      </a:xfrm>
                      <a:prstGeom prst="straightConnector1">
                        <a:avLst/>
                      </a:prstGeom>
                      <a:noFill/>
                      <a:ln w="9525" cap="flat" cmpd="sng">
                        <a:solidFill>
                          <a:srgbClr val="D8D8D8"/>
                        </a:solidFill>
                        <a:prstDash val="solid"/>
                        <a:round/>
                        <a:headEnd type="none" w="sm" len="sm"/>
                        <a:tailEnd type="none" w="sm" len="sm"/>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482236" id="_x0000_t32" coordsize="21600,21600" o:spt="32" o:oned="t" path="m,l21600,21600e" filled="f">
              <v:path arrowok="t" fillok="f" o:connecttype="none"/>
              <o:lock v:ext="edit" shapetype="t"/>
            </v:shapetype>
            <v:shape id="Přímá spojovací šipka 22" o:spid="_x0000_s1026" type="#_x0000_t32" style="position:absolute;margin-left:2pt;margin-top:85pt;width:0;height:1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" strokecolor="#d8d8d8">
              <v:stroke startarrowwidth="narrow" startarrowlength="short" endarrowwidth="narrow" endarrowlength="short"/>
            </v:shape>
          </w:pict>
        </mc:Fallback>
      </mc:AlternateContent>
    </w:r>
    <w:r w:rsidRPr="00864B4F">
      <mc:AlternateContent>
        <mc:Choice Requires="wps">
          <w:drawing>
            <wp:anchor distT="0" distB="0" distL="114300" distR="114300" simplePos="0" relativeHeight="251654656" behindDoc="0" locked="0" layoutInCell="1" hidden="0" allowOverlap="1" wp14:anchorId="2A784731" wp14:editId="1E6BBE27">
              <wp:simplePos x="0" y="0"/>
              <wp:positionH relativeFrom="column">
                <wp:posOffset>1</wp:posOffset>
              </wp:positionH>
              <wp:positionV relativeFrom="paragraph">
                <wp:posOffset>1066800</wp:posOffset>
              </wp:positionV>
              <wp:extent cx="0" cy="12700"/>
              <wp:effectExtent l="0" t="0" r="0" b="0"/>
              <wp:wrapNone/>
              <wp:docPr id="25" name="Přímá spojovací šipka 25"/>
              <wp:cNvGraphicFramePr/>
              <a:graphic xmlns:a="http://schemas.openxmlformats.org/drawingml/2006/main">
                <a:graphicData uri="http://schemas.microsoft.com/office/word/2010/wordprocessingShape">
                  <wps:wsp>
                    <wps:cNvCnPr/>
                    <wps:spPr>
                      <a:xfrm>
                        <a:off x="2279607" y="3780000"/>
                        <a:ext cx="6132787" cy="0"/>
                      </a:xfrm>
                      <a:prstGeom prst="straightConnector1">
                        <a:avLst/>
                      </a:prstGeom>
                      <a:noFill/>
                      <a:ln w="9525" cap="flat" cmpd="sng">
                        <a:solidFill>
                          <a:srgbClr val="D8D8D8"/>
                        </a:solidFill>
                        <a:prstDash val="solid"/>
                        <a:round/>
                        <a:headEnd type="none" w="sm" len="sm"/>
                        <a:tailEnd type="none" w="sm" len="sm"/>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B1BF3" id="Přímá spojovací šipka 25" o:spid="_x0000_s1026" type="#_x0000_t32" style="position:absolute;margin-left:0;margin-top:84pt;width:0;height:1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" strokecolor="#d8d8d8">
              <v:stroke startarrowwidth="narrow" startarrowlength="short" endarrowwidth="narrow" endarrowlength="short"/>
            </v:shape>
          </w:pict>
        </mc:Fallback>
      </mc:AlternateConten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33FCEDE" w14:textId="77777777" w:rsidR="00906B46" w:rsidRPr="00864B4F" w:rsidRDefault="00906B46" w:rsidP="00BE364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C8A90FC"/>
    <w:lvl w:ilvl="0">
      <w:start w:val="1"/>
      <w:numFmt w:val="decimal"/>
      <w:lvlText w:val="%1."/>
      <w:lvlJc w:val="left"/>
      <w:pPr>
        <w:tabs>
          <w:tab w:val="num" w:pos="1492"/>
        </w:tabs>
        <w:ind w:left="1492" w:hanging="360"/>
      </w:pPr>
    </w:lvl>
  </w:abstractNum>
  <w:abstractNum w:abstractNumId="1">
    <w:nsid w:val="FFFFFF7D"/>
    <w:multiLevelType w:val="singleLevel"/>
    <w:tmpl w:val="A16C599E"/>
    <w:lvl w:ilvl="0">
      <w:start w:val="1"/>
      <w:numFmt w:val="decimal"/>
      <w:lvlText w:val="%1."/>
      <w:lvlJc w:val="left"/>
      <w:pPr>
        <w:tabs>
          <w:tab w:val="num" w:pos="1209"/>
        </w:tabs>
        <w:ind w:left="1209" w:hanging="360"/>
      </w:pPr>
    </w:lvl>
  </w:abstractNum>
  <w:abstractNum w:abstractNumId="2">
    <w:nsid w:val="FFFFFF7E"/>
    <w:multiLevelType w:val="singleLevel"/>
    <w:tmpl w:val="CB44714C"/>
    <w:lvl w:ilvl="0">
      <w:start w:val="1"/>
      <w:numFmt w:val="decimal"/>
      <w:lvlText w:val="%1."/>
      <w:lvlJc w:val="left"/>
      <w:pPr>
        <w:tabs>
          <w:tab w:val="num" w:pos="926"/>
        </w:tabs>
        <w:ind w:left="926" w:hanging="360"/>
      </w:pPr>
    </w:lvl>
  </w:abstractNum>
  <w:abstractNum w:abstractNumId="3">
    <w:nsid w:val="FFFFFF7F"/>
    <w:multiLevelType w:val="singleLevel"/>
    <w:tmpl w:val="3C747F36"/>
    <w:lvl w:ilvl="0">
      <w:start w:val="1"/>
      <w:numFmt w:val="decimal"/>
      <w:lvlText w:val="%1."/>
      <w:lvlJc w:val="left"/>
      <w:pPr>
        <w:tabs>
          <w:tab w:val="num" w:pos="643"/>
        </w:tabs>
        <w:ind w:left="643" w:hanging="360"/>
      </w:pPr>
    </w:lvl>
  </w:abstractNum>
  <w:abstractNum w:abstractNumId="4">
    <w:nsid w:val="FFFFFF80"/>
    <w:multiLevelType w:val="singleLevel"/>
    <w:tmpl w:val="C65E7F6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4A8B8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B1A5F9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F26ED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0D07344"/>
    <w:lvl w:ilvl="0">
      <w:start w:val="1"/>
      <w:numFmt w:val="decimal"/>
      <w:pStyle w:val="slovanseznam"/>
      <w:lvlText w:val="%1."/>
      <w:lvlJc w:val="left"/>
      <w:pPr>
        <w:tabs>
          <w:tab w:val="num" w:pos="360"/>
        </w:tabs>
        <w:ind w:left="360" w:hanging="360"/>
      </w:pPr>
    </w:lvl>
  </w:abstractNum>
  <w:abstractNum w:abstractNumId="9">
    <w:nsid w:val="FFFFFF89"/>
    <w:multiLevelType w:val="singleLevel"/>
    <w:tmpl w:val="9B22F406"/>
    <w:lvl w:ilvl="0">
      <w:start w:val="1"/>
      <w:numFmt w:val="bullet"/>
      <w:lvlText w:val=""/>
      <w:lvlJc w:val="left"/>
      <w:pPr>
        <w:tabs>
          <w:tab w:val="num" w:pos="360"/>
        </w:tabs>
        <w:ind w:left="360" w:hanging="360"/>
      </w:pPr>
      <w:rPr>
        <w:rFonts w:ascii="Symbol" w:hAnsi="Symbol" w:hint="default"/>
      </w:rPr>
    </w:lvl>
  </w:abstractNum>
  <w:abstractNum w:abstractNumId="10">
    <w:nsid w:val="07BE2779"/>
    <w:multiLevelType w:val="hybridMultilevel"/>
    <w:tmpl w:val="92B6C9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C8F40A5"/>
    <w:multiLevelType w:val="hybridMultilevel"/>
    <w:tmpl w:val="FC865A66"/>
    <w:lvl w:ilvl="0" w:tplc="7CC06D12">
      <w:start w:val="1"/>
      <w:numFmt w:val="bullet"/>
      <w:pStyle w:val="Odrka2"/>
      <w:lvlText w:val="●"/>
      <w:lvlJc w:val="left"/>
      <w:pPr>
        <w:tabs>
          <w:tab w:val="num" w:pos="644"/>
        </w:tabs>
        <w:ind w:left="567" w:hanging="283"/>
      </w:pPr>
      <w:rPr>
        <w:rFonts w:ascii="Arial" w:hAnsi="Arial" w:hint="default"/>
        <w:b w:val="0"/>
        <w:i w:val="0"/>
        <w:color w:val="000000"/>
        <w:sz w:val="22"/>
      </w:rPr>
    </w:lvl>
    <w:lvl w:ilvl="1" w:tplc="F198D606">
      <w:start w:val="1"/>
      <w:numFmt w:val="bullet"/>
      <w:pStyle w:val="Odrka3"/>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840230"/>
    <w:multiLevelType w:val="hybridMultilevel"/>
    <w:tmpl w:val="E2B86C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BAC6C62"/>
    <w:multiLevelType w:val="hybridMultilevel"/>
    <w:tmpl w:val="C4360506"/>
    <w:lvl w:ilvl="0" w:tplc="EFD0C7CE">
      <w:start w:val="1"/>
      <w:numFmt w:val="lowerLetter"/>
      <w:lvlText w:val="%1)"/>
      <w:lvlJc w:val="left"/>
      <w:pPr>
        <w:ind w:left="930" w:hanging="360"/>
      </w:pPr>
      <w:rPr>
        <w:rFonts w:hint="default"/>
      </w:rPr>
    </w:lvl>
    <w:lvl w:ilvl="1" w:tplc="04050019">
      <w:start w:val="1"/>
      <w:numFmt w:val="lowerLetter"/>
      <w:lvlText w:val="%2."/>
      <w:lvlJc w:val="left"/>
      <w:pPr>
        <w:ind w:left="1650" w:hanging="360"/>
      </w:pPr>
    </w:lvl>
    <w:lvl w:ilvl="2" w:tplc="0405001B" w:tentative="1">
      <w:start w:val="1"/>
      <w:numFmt w:val="lowerRoman"/>
      <w:lvlText w:val="%3."/>
      <w:lvlJc w:val="right"/>
      <w:pPr>
        <w:ind w:left="2370" w:hanging="180"/>
      </w:pPr>
    </w:lvl>
    <w:lvl w:ilvl="3" w:tplc="0405000F" w:tentative="1">
      <w:start w:val="1"/>
      <w:numFmt w:val="decimal"/>
      <w:lvlText w:val="%4."/>
      <w:lvlJc w:val="left"/>
      <w:pPr>
        <w:ind w:left="3090" w:hanging="360"/>
      </w:pPr>
    </w:lvl>
    <w:lvl w:ilvl="4" w:tplc="04050019" w:tentative="1">
      <w:start w:val="1"/>
      <w:numFmt w:val="lowerLetter"/>
      <w:lvlText w:val="%5."/>
      <w:lvlJc w:val="left"/>
      <w:pPr>
        <w:ind w:left="3810" w:hanging="360"/>
      </w:pPr>
    </w:lvl>
    <w:lvl w:ilvl="5" w:tplc="0405001B" w:tentative="1">
      <w:start w:val="1"/>
      <w:numFmt w:val="lowerRoman"/>
      <w:lvlText w:val="%6."/>
      <w:lvlJc w:val="right"/>
      <w:pPr>
        <w:ind w:left="4530" w:hanging="180"/>
      </w:pPr>
    </w:lvl>
    <w:lvl w:ilvl="6" w:tplc="0405000F" w:tentative="1">
      <w:start w:val="1"/>
      <w:numFmt w:val="decimal"/>
      <w:lvlText w:val="%7."/>
      <w:lvlJc w:val="left"/>
      <w:pPr>
        <w:ind w:left="5250" w:hanging="360"/>
      </w:pPr>
    </w:lvl>
    <w:lvl w:ilvl="7" w:tplc="04050019" w:tentative="1">
      <w:start w:val="1"/>
      <w:numFmt w:val="lowerLetter"/>
      <w:lvlText w:val="%8."/>
      <w:lvlJc w:val="left"/>
      <w:pPr>
        <w:ind w:left="5970" w:hanging="360"/>
      </w:pPr>
    </w:lvl>
    <w:lvl w:ilvl="8" w:tplc="0405001B" w:tentative="1">
      <w:start w:val="1"/>
      <w:numFmt w:val="lowerRoman"/>
      <w:lvlText w:val="%9."/>
      <w:lvlJc w:val="right"/>
      <w:pPr>
        <w:ind w:left="6690" w:hanging="180"/>
      </w:pPr>
    </w:lvl>
  </w:abstractNum>
  <w:abstractNum w:abstractNumId="14">
    <w:nsid w:val="45366F84"/>
    <w:multiLevelType w:val="hybridMultilevel"/>
    <w:tmpl w:val="C31A642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nsid w:val="51075271"/>
    <w:multiLevelType w:val="hybridMultilevel"/>
    <w:tmpl w:val="4318822E"/>
    <w:lvl w:ilvl="0" w:tplc="84E4984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94335C9"/>
    <w:multiLevelType w:val="hybridMultilevel"/>
    <w:tmpl w:val="F9ACF9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74A5CFF"/>
    <w:multiLevelType w:val="hybridMultilevel"/>
    <w:tmpl w:val="C7EE983A"/>
    <w:lvl w:ilvl="0" w:tplc="7F44E66A">
      <w:start w:val="1"/>
      <w:numFmt w:val="bullet"/>
      <w:pStyle w:val="Odrka1"/>
      <w:lvlText w:val="●"/>
      <w:lvlJc w:val="left"/>
      <w:pPr>
        <w:tabs>
          <w:tab w:val="num" w:pos="360"/>
        </w:tabs>
        <w:ind w:left="284" w:hanging="284"/>
      </w:pPr>
      <w:rPr>
        <w:rFonts w:ascii="Arial" w:hAnsi="Arial" w:hint="default"/>
        <w:b w:val="0"/>
        <w:i w:val="0"/>
        <w:color w:val="0000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1551454"/>
    <w:multiLevelType w:val="hybridMultilevel"/>
    <w:tmpl w:val="3C1447FA"/>
    <w:lvl w:ilvl="0" w:tplc="98EAB6C6">
      <w:start w:val="1"/>
      <w:numFmt w:val="bullet"/>
      <w:lvlText w:val="-"/>
      <w:lvlJc w:val="left"/>
      <w:pPr>
        <w:ind w:left="720" w:hanging="360"/>
      </w:pPr>
      <w:rPr>
        <w:rFonts w:ascii="Tahoma" w:eastAsia="Arial"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76E32287"/>
    <w:multiLevelType w:val="hybridMultilevel"/>
    <w:tmpl w:val="DCC8761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AE1AA514">
      <w:start w:val="1"/>
      <w:numFmt w:val="lowerLetter"/>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7"/>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lvlOverride w:ilvl="0">
      <w:startOverride w:val="1"/>
    </w:lvlOverride>
  </w:num>
  <w:num w:numId="14">
    <w:abstractNumId w:val="19"/>
  </w:num>
  <w:num w:numId="15">
    <w:abstractNumId w:val="18"/>
  </w:num>
  <w:num w:numId="16">
    <w:abstractNumId w:val="15"/>
  </w:num>
  <w:num w:numId="17">
    <w:abstractNumId w:val="16"/>
  </w:num>
  <w:num w:numId="18">
    <w:abstractNumId w:val="10"/>
  </w:num>
  <w:num w:numId="19">
    <w:abstractNumId w:val="14"/>
  </w:num>
  <w:num w:numId="20">
    <w:abstractNumId w:val="13"/>
  </w:num>
  <w:num w:numId="21">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ěmcová Lucie">
    <w15:presenceInfo w15:providerId="AD" w15:userId="S::lucie.nemcova@enetiqa.cz::659643a7-4c5a-40ce-93fa-cba9c14190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09"/>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839"/>
    <w:rsid w:val="00006ED5"/>
    <w:rsid w:val="0001143D"/>
    <w:rsid w:val="000274AC"/>
    <w:rsid w:val="00035EA2"/>
    <w:rsid w:val="00043617"/>
    <w:rsid w:val="00047777"/>
    <w:rsid w:val="00051993"/>
    <w:rsid w:val="00072C04"/>
    <w:rsid w:val="00074C6B"/>
    <w:rsid w:val="000825DB"/>
    <w:rsid w:val="000832CE"/>
    <w:rsid w:val="0008344F"/>
    <w:rsid w:val="00085C83"/>
    <w:rsid w:val="000A23A8"/>
    <w:rsid w:val="000A2DE8"/>
    <w:rsid w:val="000A4B78"/>
    <w:rsid w:val="000B072F"/>
    <w:rsid w:val="000B4B2F"/>
    <w:rsid w:val="000D7C6F"/>
    <w:rsid w:val="000E47AA"/>
    <w:rsid w:val="000F2555"/>
    <w:rsid w:val="000F3E7A"/>
    <w:rsid w:val="00107B59"/>
    <w:rsid w:val="00112B8D"/>
    <w:rsid w:val="0011528F"/>
    <w:rsid w:val="00122178"/>
    <w:rsid w:val="00123A6F"/>
    <w:rsid w:val="001317A2"/>
    <w:rsid w:val="00137633"/>
    <w:rsid w:val="0014226A"/>
    <w:rsid w:val="0016391E"/>
    <w:rsid w:val="00171DFD"/>
    <w:rsid w:val="00194B36"/>
    <w:rsid w:val="00194CAB"/>
    <w:rsid w:val="00196C6D"/>
    <w:rsid w:val="00197261"/>
    <w:rsid w:val="001A00E9"/>
    <w:rsid w:val="001A25BA"/>
    <w:rsid w:val="001A4992"/>
    <w:rsid w:val="001C2C49"/>
    <w:rsid w:val="001D36D1"/>
    <w:rsid w:val="001E2543"/>
    <w:rsid w:val="00214F7C"/>
    <w:rsid w:val="002228CD"/>
    <w:rsid w:val="00226750"/>
    <w:rsid w:val="002301E2"/>
    <w:rsid w:val="00235E3A"/>
    <w:rsid w:val="00237E59"/>
    <w:rsid w:val="00241347"/>
    <w:rsid w:val="00262E18"/>
    <w:rsid w:val="002741DB"/>
    <w:rsid w:val="00274F2D"/>
    <w:rsid w:val="002755B1"/>
    <w:rsid w:val="002A26CD"/>
    <w:rsid w:val="002A595C"/>
    <w:rsid w:val="002B2FF6"/>
    <w:rsid w:val="002B6D20"/>
    <w:rsid w:val="002B6FF2"/>
    <w:rsid w:val="002D3999"/>
    <w:rsid w:val="002F2B2D"/>
    <w:rsid w:val="002F2B55"/>
    <w:rsid w:val="00300232"/>
    <w:rsid w:val="00302B07"/>
    <w:rsid w:val="00313BCD"/>
    <w:rsid w:val="003360D8"/>
    <w:rsid w:val="00346754"/>
    <w:rsid w:val="00346AB2"/>
    <w:rsid w:val="003731F6"/>
    <w:rsid w:val="00374BB1"/>
    <w:rsid w:val="003860B6"/>
    <w:rsid w:val="0038671D"/>
    <w:rsid w:val="003A06A0"/>
    <w:rsid w:val="003A5A00"/>
    <w:rsid w:val="003B6263"/>
    <w:rsid w:val="003B62B3"/>
    <w:rsid w:val="003C3661"/>
    <w:rsid w:val="003D6C04"/>
    <w:rsid w:val="00454A51"/>
    <w:rsid w:val="004550FD"/>
    <w:rsid w:val="004579B0"/>
    <w:rsid w:val="00470DFC"/>
    <w:rsid w:val="00476708"/>
    <w:rsid w:val="004A5785"/>
    <w:rsid w:val="004A7FA0"/>
    <w:rsid w:val="004C5438"/>
    <w:rsid w:val="004C6993"/>
    <w:rsid w:val="004D2C1B"/>
    <w:rsid w:val="004E0219"/>
    <w:rsid w:val="004E7237"/>
    <w:rsid w:val="00520618"/>
    <w:rsid w:val="00522E22"/>
    <w:rsid w:val="005264A8"/>
    <w:rsid w:val="00534EAF"/>
    <w:rsid w:val="00540371"/>
    <w:rsid w:val="00540D2F"/>
    <w:rsid w:val="005414FD"/>
    <w:rsid w:val="00547807"/>
    <w:rsid w:val="00551B36"/>
    <w:rsid w:val="00552C48"/>
    <w:rsid w:val="005733E4"/>
    <w:rsid w:val="0057484A"/>
    <w:rsid w:val="00576A6F"/>
    <w:rsid w:val="00577772"/>
    <w:rsid w:val="00585023"/>
    <w:rsid w:val="0059010A"/>
    <w:rsid w:val="005B2B27"/>
    <w:rsid w:val="005B4FEB"/>
    <w:rsid w:val="005B5735"/>
    <w:rsid w:val="005B5E92"/>
    <w:rsid w:val="005E1EC3"/>
    <w:rsid w:val="005E2F3E"/>
    <w:rsid w:val="005E79B2"/>
    <w:rsid w:val="005F32DF"/>
    <w:rsid w:val="00611156"/>
    <w:rsid w:val="006119C5"/>
    <w:rsid w:val="00614A5C"/>
    <w:rsid w:val="006179F1"/>
    <w:rsid w:val="006208CA"/>
    <w:rsid w:val="006210FD"/>
    <w:rsid w:val="00633C98"/>
    <w:rsid w:val="00633CA8"/>
    <w:rsid w:val="006465B3"/>
    <w:rsid w:val="006471CC"/>
    <w:rsid w:val="00654D3F"/>
    <w:rsid w:val="00662F1E"/>
    <w:rsid w:val="00664266"/>
    <w:rsid w:val="00667977"/>
    <w:rsid w:val="00670F05"/>
    <w:rsid w:val="006823EC"/>
    <w:rsid w:val="006946AA"/>
    <w:rsid w:val="006970E0"/>
    <w:rsid w:val="006A02D4"/>
    <w:rsid w:val="006A0A93"/>
    <w:rsid w:val="006B3E6F"/>
    <w:rsid w:val="006B406C"/>
    <w:rsid w:val="006B504C"/>
    <w:rsid w:val="006C2888"/>
    <w:rsid w:val="006D0716"/>
    <w:rsid w:val="006E1DA6"/>
    <w:rsid w:val="006E4B1F"/>
    <w:rsid w:val="006F1E48"/>
    <w:rsid w:val="006F38B8"/>
    <w:rsid w:val="006F7EDB"/>
    <w:rsid w:val="00703823"/>
    <w:rsid w:val="007131C0"/>
    <w:rsid w:val="00713836"/>
    <w:rsid w:val="00716DA9"/>
    <w:rsid w:val="007308D1"/>
    <w:rsid w:val="00741F37"/>
    <w:rsid w:val="00751A44"/>
    <w:rsid w:val="00753644"/>
    <w:rsid w:val="007577BA"/>
    <w:rsid w:val="00776789"/>
    <w:rsid w:val="00785EDE"/>
    <w:rsid w:val="00786C92"/>
    <w:rsid w:val="0079489C"/>
    <w:rsid w:val="007A0F47"/>
    <w:rsid w:val="007A1310"/>
    <w:rsid w:val="007A1E15"/>
    <w:rsid w:val="007B1289"/>
    <w:rsid w:val="007B1B52"/>
    <w:rsid w:val="007B5C5F"/>
    <w:rsid w:val="007B6229"/>
    <w:rsid w:val="007B75AC"/>
    <w:rsid w:val="007C01FE"/>
    <w:rsid w:val="007C64B8"/>
    <w:rsid w:val="007E1477"/>
    <w:rsid w:val="007E594D"/>
    <w:rsid w:val="008176D3"/>
    <w:rsid w:val="0082472D"/>
    <w:rsid w:val="00834932"/>
    <w:rsid w:val="008412CF"/>
    <w:rsid w:val="00845B3F"/>
    <w:rsid w:val="00854CCE"/>
    <w:rsid w:val="008628C9"/>
    <w:rsid w:val="00864B4F"/>
    <w:rsid w:val="00866924"/>
    <w:rsid w:val="00867C5B"/>
    <w:rsid w:val="008806FE"/>
    <w:rsid w:val="008825AD"/>
    <w:rsid w:val="00887265"/>
    <w:rsid w:val="0089200C"/>
    <w:rsid w:val="008948C9"/>
    <w:rsid w:val="008C0273"/>
    <w:rsid w:val="008C6246"/>
    <w:rsid w:val="008D459B"/>
    <w:rsid w:val="008D4672"/>
    <w:rsid w:val="008E1D40"/>
    <w:rsid w:val="008F4839"/>
    <w:rsid w:val="00902B40"/>
    <w:rsid w:val="00902C38"/>
    <w:rsid w:val="009030B2"/>
    <w:rsid w:val="00906B46"/>
    <w:rsid w:val="00910C0B"/>
    <w:rsid w:val="009244BC"/>
    <w:rsid w:val="00930E12"/>
    <w:rsid w:val="00941E03"/>
    <w:rsid w:val="0094323D"/>
    <w:rsid w:val="00954B1D"/>
    <w:rsid w:val="00961338"/>
    <w:rsid w:val="00965E47"/>
    <w:rsid w:val="0097391D"/>
    <w:rsid w:val="00992F22"/>
    <w:rsid w:val="00994B16"/>
    <w:rsid w:val="009960E9"/>
    <w:rsid w:val="009A3C18"/>
    <w:rsid w:val="009B3695"/>
    <w:rsid w:val="009C0562"/>
    <w:rsid w:val="009C1F87"/>
    <w:rsid w:val="009C22A3"/>
    <w:rsid w:val="009D4CB4"/>
    <w:rsid w:val="009D717B"/>
    <w:rsid w:val="009E5A0A"/>
    <w:rsid w:val="009F0B60"/>
    <w:rsid w:val="00A047F6"/>
    <w:rsid w:val="00A125F9"/>
    <w:rsid w:val="00A1752C"/>
    <w:rsid w:val="00A20553"/>
    <w:rsid w:val="00A3678C"/>
    <w:rsid w:val="00A572F0"/>
    <w:rsid w:val="00A70045"/>
    <w:rsid w:val="00A70EFC"/>
    <w:rsid w:val="00A92670"/>
    <w:rsid w:val="00A9532A"/>
    <w:rsid w:val="00A966E9"/>
    <w:rsid w:val="00AA026A"/>
    <w:rsid w:val="00AA7A94"/>
    <w:rsid w:val="00AB3E33"/>
    <w:rsid w:val="00AB576C"/>
    <w:rsid w:val="00AC115C"/>
    <w:rsid w:val="00AC2EBC"/>
    <w:rsid w:val="00AF7267"/>
    <w:rsid w:val="00B137DD"/>
    <w:rsid w:val="00B218C5"/>
    <w:rsid w:val="00B228BD"/>
    <w:rsid w:val="00B40765"/>
    <w:rsid w:val="00B6549D"/>
    <w:rsid w:val="00B66402"/>
    <w:rsid w:val="00B74C78"/>
    <w:rsid w:val="00B75AAB"/>
    <w:rsid w:val="00B972AE"/>
    <w:rsid w:val="00BA5E1D"/>
    <w:rsid w:val="00BB2BC0"/>
    <w:rsid w:val="00BB6EA5"/>
    <w:rsid w:val="00BC0AB5"/>
    <w:rsid w:val="00BE364F"/>
    <w:rsid w:val="00BF34CA"/>
    <w:rsid w:val="00BF66B8"/>
    <w:rsid w:val="00BF75CC"/>
    <w:rsid w:val="00C135FF"/>
    <w:rsid w:val="00C262A6"/>
    <w:rsid w:val="00C3791B"/>
    <w:rsid w:val="00C40BFB"/>
    <w:rsid w:val="00C449E4"/>
    <w:rsid w:val="00C451B3"/>
    <w:rsid w:val="00C57999"/>
    <w:rsid w:val="00C60F2F"/>
    <w:rsid w:val="00C637B2"/>
    <w:rsid w:val="00C70913"/>
    <w:rsid w:val="00C75BD4"/>
    <w:rsid w:val="00CA2C9A"/>
    <w:rsid w:val="00CA3ED6"/>
    <w:rsid w:val="00CB594A"/>
    <w:rsid w:val="00CB6498"/>
    <w:rsid w:val="00CB6D00"/>
    <w:rsid w:val="00CC70F4"/>
    <w:rsid w:val="00CD45DD"/>
    <w:rsid w:val="00CF5B24"/>
    <w:rsid w:val="00D02D9A"/>
    <w:rsid w:val="00D273EB"/>
    <w:rsid w:val="00D3004C"/>
    <w:rsid w:val="00D3114B"/>
    <w:rsid w:val="00D35CD8"/>
    <w:rsid w:val="00D41219"/>
    <w:rsid w:val="00D43C22"/>
    <w:rsid w:val="00D51BEC"/>
    <w:rsid w:val="00D60C36"/>
    <w:rsid w:val="00D6588A"/>
    <w:rsid w:val="00D661E8"/>
    <w:rsid w:val="00D707BD"/>
    <w:rsid w:val="00D70EC1"/>
    <w:rsid w:val="00D70FF5"/>
    <w:rsid w:val="00D95366"/>
    <w:rsid w:val="00D95A8E"/>
    <w:rsid w:val="00D95D70"/>
    <w:rsid w:val="00DA1422"/>
    <w:rsid w:val="00DA1D6D"/>
    <w:rsid w:val="00DB1CE8"/>
    <w:rsid w:val="00DB1DE0"/>
    <w:rsid w:val="00DB3763"/>
    <w:rsid w:val="00DB7465"/>
    <w:rsid w:val="00DC139B"/>
    <w:rsid w:val="00DC28E6"/>
    <w:rsid w:val="00DC3067"/>
    <w:rsid w:val="00DC65AF"/>
    <w:rsid w:val="00DF2811"/>
    <w:rsid w:val="00DF66C2"/>
    <w:rsid w:val="00E03B40"/>
    <w:rsid w:val="00E12654"/>
    <w:rsid w:val="00E14AC3"/>
    <w:rsid w:val="00E16A4B"/>
    <w:rsid w:val="00E172DA"/>
    <w:rsid w:val="00E225DB"/>
    <w:rsid w:val="00E25013"/>
    <w:rsid w:val="00E35092"/>
    <w:rsid w:val="00E62D86"/>
    <w:rsid w:val="00E64E07"/>
    <w:rsid w:val="00E74F6D"/>
    <w:rsid w:val="00E81663"/>
    <w:rsid w:val="00E86FD5"/>
    <w:rsid w:val="00E93050"/>
    <w:rsid w:val="00E95394"/>
    <w:rsid w:val="00EA1F3B"/>
    <w:rsid w:val="00EA2D28"/>
    <w:rsid w:val="00EE708A"/>
    <w:rsid w:val="00EF382A"/>
    <w:rsid w:val="00F00290"/>
    <w:rsid w:val="00F01EC7"/>
    <w:rsid w:val="00F103E7"/>
    <w:rsid w:val="00F1153C"/>
    <w:rsid w:val="00F13604"/>
    <w:rsid w:val="00F37020"/>
    <w:rsid w:val="00F37E93"/>
    <w:rsid w:val="00F4661D"/>
    <w:rsid w:val="00F50A69"/>
    <w:rsid w:val="00F55498"/>
    <w:rsid w:val="00F577B2"/>
    <w:rsid w:val="00F636E5"/>
    <w:rsid w:val="00F65340"/>
    <w:rsid w:val="00F71C89"/>
    <w:rsid w:val="00FA1146"/>
    <w:rsid w:val="00FB4BF8"/>
    <w:rsid w:val="00FB5FDA"/>
    <w:rsid w:val="00FC2631"/>
    <w:rsid w:val="00FC7CF4"/>
    <w:rsid w:val="00FC7E8D"/>
    <w:rsid w:val="00FD0602"/>
    <w:rsid w:val="00FD425D"/>
    <w:rsid w:val="00FE1706"/>
    <w:rsid w:val="00FE1EB5"/>
    <w:rsid w:val="00FE2341"/>
    <w:rsid w:val="00FE48E4"/>
    <w:rsid w:val="00FF5D1E"/>
    <w:rsid w:val="00FF7CE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2D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C64B8"/>
    <w:pPr>
      <w:spacing w:before="120" w:line="288" w:lineRule="auto"/>
      <w:jc w:val="both"/>
    </w:pPr>
    <w:rPr>
      <w:rFonts w:ascii="Arial" w:hAnsi="Arial"/>
      <w:noProof/>
      <w:sz w:val="22"/>
      <w:szCs w:val="24"/>
    </w:rPr>
  </w:style>
  <w:style w:type="paragraph" w:styleId="Nadpis1">
    <w:name w:val="heading 1"/>
    <w:basedOn w:val="Normln"/>
    <w:next w:val="Normln"/>
    <w:link w:val="Nadpis1Char"/>
    <w:qFormat/>
    <w:rsid w:val="000F3E7A"/>
    <w:pPr>
      <w:keepNext/>
      <w:spacing w:before="360" w:after="120"/>
      <w:jc w:val="center"/>
      <w:outlineLvl w:val="0"/>
    </w:pPr>
    <w:rPr>
      <w:rFonts w:eastAsiaTheme="majorEastAsia" w:cs="Arial"/>
      <w:bCs/>
      <w:kern w:val="32"/>
      <w:sz w:val="28"/>
      <w:szCs w:val="32"/>
    </w:rPr>
  </w:style>
  <w:style w:type="paragraph" w:styleId="Nadpis2">
    <w:name w:val="heading 2"/>
    <w:basedOn w:val="Normln"/>
    <w:next w:val="Normln"/>
    <w:link w:val="Nadpis2Char"/>
    <w:qFormat/>
    <w:rsid w:val="00346AB2"/>
    <w:pPr>
      <w:keepNext/>
      <w:spacing w:before="240"/>
      <w:jc w:val="left"/>
      <w:outlineLvl w:val="1"/>
    </w:pPr>
    <w:rPr>
      <w:rFonts w:eastAsiaTheme="majorEastAsia" w:cs="Arial"/>
      <w:b/>
      <w:bCs/>
      <w:iCs/>
      <w:sz w:val="24"/>
      <w:szCs w:val="28"/>
    </w:rPr>
  </w:style>
  <w:style w:type="paragraph" w:styleId="Nadpis3">
    <w:name w:val="heading 3"/>
    <w:basedOn w:val="Normln"/>
    <w:next w:val="Normln"/>
    <w:link w:val="Nadpis3Char"/>
    <w:qFormat/>
    <w:rsid w:val="00346AB2"/>
    <w:pPr>
      <w:keepNext/>
      <w:spacing w:before="240"/>
      <w:jc w:val="left"/>
      <w:outlineLvl w:val="2"/>
    </w:pPr>
    <w:rPr>
      <w:rFonts w:eastAsiaTheme="majorEastAsia" w:cs="Arial"/>
      <w:bCs/>
      <w:sz w:val="24"/>
      <w:szCs w:val="26"/>
    </w:rPr>
  </w:style>
  <w:style w:type="paragraph" w:styleId="Nadpis4">
    <w:name w:val="heading 4"/>
    <w:basedOn w:val="Normln"/>
    <w:next w:val="Normln"/>
    <w:link w:val="Nadpis4Char"/>
    <w:qFormat/>
    <w:rsid w:val="00346AB2"/>
    <w:pPr>
      <w:keepNext/>
      <w:spacing w:before="240"/>
      <w:jc w:val="left"/>
      <w:outlineLvl w:val="3"/>
    </w:pPr>
    <w:rPr>
      <w:rFonts w:eastAsiaTheme="majorEastAsia" w:cstheme="majorBidi"/>
      <w:bCs/>
      <w:i/>
      <w:sz w:val="24"/>
      <w:szCs w:val="28"/>
    </w:rPr>
  </w:style>
  <w:style w:type="paragraph" w:styleId="Nadpis5">
    <w:name w:val="heading 5"/>
    <w:basedOn w:val="Normln"/>
    <w:next w:val="Normln"/>
    <w:link w:val="Nadpis5Char"/>
    <w:semiHidden/>
    <w:unhideWhenUsed/>
    <w:qFormat/>
    <w:rsid w:val="00576A6F"/>
    <w:pPr>
      <w:keepNext/>
      <w:keepLines/>
      <w:spacing w:before="40"/>
      <w:outlineLvl w:val="4"/>
    </w:pPr>
    <w:rPr>
      <w:rFonts w:asciiTheme="majorHAnsi" w:eastAsiaTheme="majorEastAsia" w:hAnsiTheme="majorHAnsi" w:cstheme="majorBidi"/>
      <w:color w:val="A5A5A5" w:themeColor="accent1" w:themeShade="BF"/>
    </w:rPr>
  </w:style>
  <w:style w:type="paragraph" w:styleId="Nadpis6">
    <w:name w:val="heading 6"/>
    <w:basedOn w:val="Normln"/>
    <w:next w:val="Normln"/>
    <w:link w:val="Nadpis6Char"/>
    <w:semiHidden/>
    <w:unhideWhenUsed/>
    <w:qFormat/>
    <w:rsid w:val="00576A6F"/>
    <w:pPr>
      <w:keepNext/>
      <w:keepLines/>
      <w:spacing w:before="40"/>
      <w:outlineLvl w:val="5"/>
    </w:pPr>
    <w:rPr>
      <w:rFonts w:asciiTheme="majorHAnsi" w:eastAsiaTheme="majorEastAsia" w:hAnsiTheme="majorHAnsi" w:cstheme="majorBidi"/>
      <w:color w:val="6E6E6E" w:themeColor="accent1" w:themeShade="7F"/>
    </w:rPr>
  </w:style>
  <w:style w:type="paragraph" w:styleId="Nadpis7">
    <w:name w:val="heading 7"/>
    <w:basedOn w:val="Normln"/>
    <w:next w:val="Normln"/>
    <w:link w:val="Nadpis7Char"/>
    <w:semiHidden/>
    <w:unhideWhenUsed/>
    <w:qFormat/>
    <w:rsid w:val="00576A6F"/>
    <w:pPr>
      <w:keepNext/>
      <w:keepLines/>
      <w:spacing w:before="40"/>
      <w:outlineLvl w:val="6"/>
    </w:pPr>
    <w:rPr>
      <w:rFonts w:asciiTheme="majorHAnsi" w:eastAsiaTheme="majorEastAsia" w:hAnsiTheme="majorHAnsi" w:cstheme="majorBidi"/>
      <w:i/>
      <w:iCs/>
      <w:color w:val="6E6E6E" w:themeColor="accent1" w:themeShade="7F"/>
    </w:rPr>
  </w:style>
  <w:style w:type="paragraph" w:styleId="Nadpis8">
    <w:name w:val="heading 8"/>
    <w:basedOn w:val="Normln"/>
    <w:next w:val="Normln"/>
    <w:link w:val="Nadpis8Char"/>
    <w:semiHidden/>
    <w:unhideWhenUsed/>
    <w:qFormat/>
    <w:rsid w:val="00576A6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semiHidden/>
    <w:unhideWhenUsed/>
    <w:qFormat/>
    <w:rsid w:val="00576A6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662F1E"/>
    <w:pPr>
      <w:tabs>
        <w:tab w:val="left" w:pos="5865"/>
      </w:tabs>
      <w:spacing w:before="600" w:line="240" w:lineRule="auto"/>
      <w:jc w:val="right"/>
    </w:pPr>
    <w:rPr>
      <w:b/>
      <w:sz w:val="18"/>
    </w:rPr>
  </w:style>
  <w:style w:type="paragraph" w:styleId="Zpat">
    <w:name w:val="footer"/>
    <w:basedOn w:val="Normln"/>
    <w:link w:val="ZpatChar"/>
    <w:uiPriority w:val="99"/>
    <w:rsid w:val="00196C6D"/>
    <w:pPr>
      <w:tabs>
        <w:tab w:val="right" w:pos="9638"/>
      </w:tabs>
      <w:spacing w:before="0" w:line="240" w:lineRule="auto"/>
    </w:pPr>
    <w:rPr>
      <w:sz w:val="17"/>
      <w:szCs w:val="15"/>
    </w:rPr>
  </w:style>
  <w:style w:type="character" w:styleId="slostrnky">
    <w:name w:val="page number"/>
    <w:basedOn w:val="Standardnpsmoodstavce"/>
    <w:rPr>
      <w:rFonts w:ascii="Arial" w:hAnsi="Arial"/>
      <w:sz w:val="22"/>
    </w:rPr>
  </w:style>
  <w:style w:type="character" w:styleId="Hypertextovodkaz">
    <w:name w:val="Hyperlink"/>
    <w:basedOn w:val="Standardnpsmoodstavce"/>
    <w:rsid w:val="00FA1146"/>
    <w:rPr>
      <w:color w:val="0000FF"/>
      <w:u w:val="single"/>
    </w:rPr>
  </w:style>
  <w:style w:type="paragraph" w:customStyle="1" w:styleId="Odrka1">
    <w:name w:val="Odrážka 1"/>
    <w:basedOn w:val="Normln"/>
    <w:rsid w:val="00346AB2"/>
    <w:pPr>
      <w:numPr>
        <w:numId w:val="1"/>
      </w:numPr>
      <w:tabs>
        <w:tab w:val="clear" w:pos="360"/>
      </w:tabs>
      <w:ind w:left="340" w:hanging="340"/>
      <w:jc w:val="left"/>
    </w:pPr>
  </w:style>
  <w:style w:type="paragraph" w:customStyle="1" w:styleId="Odrka2">
    <w:name w:val="Odrážka 2"/>
    <w:basedOn w:val="Normln"/>
    <w:rsid w:val="00346AB2"/>
    <w:pPr>
      <w:numPr>
        <w:numId w:val="2"/>
      </w:numPr>
      <w:tabs>
        <w:tab w:val="clear" w:pos="644"/>
      </w:tabs>
      <w:spacing w:before="0"/>
      <w:ind w:left="680" w:hanging="340"/>
      <w:jc w:val="left"/>
    </w:pPr>
  </w:style>
  <w:style w:type="character" w:customStyle="1" w:styleId="ZhlavChar">
    <w:name w:val="Záhlaví Char"/>
    <w:basedOn w:val="Standardnpsmoodstavce"/>
    <w:link w:val="Zhlav"/>
    <w:rsid w:val="00662F1E"/>
    <w:rPr>
      <w:rFonts w:ascii="Arial" w:hAnsi="Arial"/>
      <w:b/>
      <w:sz w:val="18"/>
      <w:szCs w:val="24"/>
    </w:rPr>
  </w:style>
  <w:style w:type="character" w:customStyle="1" w:styleId="ZpatChar">
    <w:name w:val="Zápatí Char"/>
    <w:basedOn w:val="Standardnpsmoodstavce"/>
    <w:link w:val="Zpat"/>
    <w:uiPriority w:val="99"/>
    <w:rsid w:val="00196C6D"/>
    <w:rPr>
      <w:rFonts w:ascii="Arial" w:hAnsi="Arial"/>
      <w:sz w:val="17"/>
      <w:szCs w:val="15"/>
    </w:rPr>
  </w:style>
  <w:style w:type="paragraph" w:styleId="Textbubliny">
    <w:name w:val="Balloon Text"/>
    <w:basedOn w:val="Normln"/>
    <w:link w:val="TextbublinyChar"/>
    <w:rsid w:val="00346AB2"/>
    <w:pPr>
      <w:spacing w:before="0" w:line="240" w:lineRule="auto"/>
    </w:pPr>
    <w:rPr>
      <w:rFonts w:asciiTheme="majorHAnsi" w:hAnsiTheme="majorHAnsi" w:cs="Tahoma"/>
      <w:sz w:val="16"/>
      <w:szCs w:val="16"/>
    </w:rPr>
  </w:style>
  <w:style w:type="character" w:customStyle="1" w:styleId="TextbublinyChar">
    <w:name w:val="Text bubliny Char"/>
    <w:basedOn w:val="Standardnpsmoodstavce"/>
    <w:link w:val="Textbubliny"/>
    <w:rsid w:val="00346AB2"/>
    <w:rPr>
      <w:rFonts w:asciiTheme="majorHAnsi" w:hAnsiTheme="majorHAnsi" w:cs="Tahoma"/>
      <w:sz w:val="16"/>
      <w:szCs w:val="16"/>
    </w:rPr>
  </w:style>
  <w:style w:type="table" w:customStyle="1" w:styleId="MVV1">
    <w:name w:val="MVV 1"/>
    <w:basedOn w:val="Normlntabulka"/>
    <w:uiPriority w:val="99"/>
    <w:rsid w:val="008D459B"/>
    <w:pPr>
      <w:jc w:val="right"/>
    </w:pPr>
    <w:rPr>
      <w:rFonts w:ascii="Arial" w:hAnsi="Arial"/>
      <w:sz w:val="22"/>
    </w:rPr>
    <w:tblPr>
      <w:tblBorders>
        <w:top w:val="single" w:sz="4" w:space="0" w:color="DDDDDD" w:themeColor="accent1"/>
        <w:bottom w:val="single" w:sz="4" w:space="0" w:color="0070C0" w:themeColor="accent3"/>
        <w:insideH w:val="single" w:sz="4" w:space="0" w:color="0070C0" w:themeColor="accent3"/>
      </w:tblBorders>
    </w:tblPr>
    <w:tcPr>
      <w:vAlign w:val="center"/>
    </w:tcPr>
    <w:tblStylePr w:type="firstRow">
      <w:rPr>
        <w:b/>
      </w:rPr>
    </w:tblStylePr>
    <w:tblStylePr w:type="lastRow">
      <w:rPr>
        <w:b/>
      </w:rPr>
    </w:tblStylePr>
    <w:tblStylePr w:type="firstCol">
      <w:pPr>
        <w:jc w:val="left"/>
      </w:pPr>
    </w:tblStylePr>
    <w:tblStylePr w:type="lastCol">
      <w:pPr>
        <w:wordWrap/>
        <w:spacing w:beforeLines="0" w:before="0" w:beforeAutospacing="0" w:afterLines="0" w:after="0" w:afterAutospacing="0" w:line="288" w:lineRule="auto"/>
      </w:pPr>
      <w:tblPr/>
      <w:tcPr>
        <w:shd w:val="clear" w:color="auto" w:fill="BFE4FF" w:themeFill="accent3" w:themeFillTint="33"/>
      </w:tcPr>
    </w:tblStylePr>
  </w:style>
  <w:style w:type="paragraph" w:customStyle="1" w:styleId="tabulkatextvpravo">
    <w:name w:val="tabulka text vpravo"/>
    <w:basedOn w:val="tabulkatextvlevo"/>
    <w:qFormat/>
    <w:rsid w:val="00522E22"/>
    <w:pPr>
      <w:framePr w:hSpace="141" w:wrap="around" w:vAnchor="text" w:hAnchor="margin" w:y="260"/>
      <w:jc w:val="right"/>
    </w:pPr>
  </w:style>
  <w:style w:type="table" w:customStyle="1" w:styleId="MVV3">
    <w:name w:val="MVV 3"/>
    <w:basedOn w:val="MVV2"/>
    <w:uiPriority w:val="99"/>
    <w:rsid w:val="001A25BA"/>
    <w:tblPr/>
    <w:tblStylePr w:type="firstRow">
      <w:rPr>
        <w:b/>
        <w:color w:val="FFFFFF" w:themeColor="background1"/>
      </w:rPr>
      <w:tblPr/>
      <w:tcPr>
        <w:tcBorders>
          <w:top w:val="nil"/>
          <w:left w:val="nil"/>
          <w:bottom w:val="nil"/>
          <w:right w:val="nil"/>
          <w:insideH w:val="nil"/>
          <w:insideV w:val="nil"/>
          <w:tl2br w:val="nil"/>
          <w:tr2bl w:val="nil"/>
        </w:tcBorders>
        <w:shd w:val="clear" w:color="auto" w:fill="DDDDDD" w:themeFill="accent1"/>
      </w:tcPr>
    </w:tblStylePr>
    <w:tblStylePr w:type="lastRow">
      <w:rPr>
        <w:b/>
      </w:rPr>
    </w:tblStylePr>
    <w:tblStylePr w:type="firstCol">
      <w:pPr>
        <w:jc w:val="left"/>
      </w:pPr>
    </w:tblStylePr>
    <w:tblStylePr w:type="lastCol">
      <w:pPr>
        <w:wordWrap/>
        <w:spacing w:beforeLines="0" w:before="0" w:beforeAutospacing="0" w:afterLines="0" w:after="0" w:afterAutospacing="0" w:line="288" w:lineRule="auto"/>
      </w:pPr>
      <w:rPr>
        <w:b/>
      </w:rPr>
      <w:tblPr/>
      <w:tcPr>
        <w:shd w:val="clear" w:color="auto" w:fill="0070C0" w:themeFill="accent3"/>
      </w:tcPr>
    </w:tblStylePr>
  </w:style>
  <w:style w:type="table" w:customStyle="1" w:styleId="MVV4">
    <w:name w:val="MVV 4"/>
    <w:basedOn w:val="MVV2"/>
    <w:uiPriority w:val="99"/>
    <w:rsid w:val="001A25BA"/>
    <w:tblPr/>
    <w:tblStylePr w:type="firstRow">
      <w:rPr>
        <w:b/>
        <w:color w:val="FFFFFF" w:themeColor="background1"/>
      </w:rPr>
      <w:tblPr/>
      <w:tcPr>
        <w:tcBorders>
          <w:top w:val="nil"/>
          <w:left w:val="nil"/>
          <w:bottom w:val="nil"/>
          <w:right w:val="nil"/>
          <w:insideH w:val="nil"/>
          <w:insideV w:val="nil"/>
          <w:tl2br w:val="nil"/>
          <w:tr2bl w:val="nil"/>
        </w:tcBorders>
        <w:shd w:val="clear" w:color="auto" w:fill="DDDDDD" w:themeFill="accent1"/>
      </w:tcPr>
    </w:tblStylePr>
    <w:tblStylePr w:type="lastRow">
      <w:rPr>
        <w:b/>
      </w:rPr>
      <w:tblPr/>
      <w:tcPr>
        <w:shd w:val="clear" w:color="auto" w:fill="0070C0" w:themeFill="accent3"/>
      </w:tcPr>
    </w:tblStylePr>
    <w:tblStylePr w:type="firstCol">
      <w:pPr>
        <w:jc w:val="left"/>
      </w:pPr>
    </w:tblStylePr>
    <w:tblStylePr w:type="lastCol">
      <w:pPr>
        <w:wordWrap/>
        <w:spacing w:beforeLines="0" w:before="0" w:beforeAutospacing="0" w:afterLines="0" w:after="0" w:afterAutospacing="0" w:line="288" w:lineRule="auto"/>
      </w:pPr>
      <w:tblPr/>
      <w:tcPr>
        <w:shd w:val="clear" w:color="auto" w:fill="BFE4FF" w:themeFill="accent3" w:themeFillTint="33"/>
      </w:tcPr>
    </w:tblStylePr>
  </w:style>
  <w:style w:type="table" w:customStyle="1" w:styleId="MVV2">
    <w:name w:val="MVV 2"/>
    <w:basedOn w:val="MVV1"/>
    <w:uiPriority w:val="99"/>
    <w:rsid w:val="00776789"/>
    <w:tblPr/>
    <w:tblStylePr w:type="firstRow">
      <w:rPr>
        <w:b/>
        <w:color w:val="FFFFFF" w:themeColor="background1"/>
      </w:rPr>
      <w:tblPr/>
      <w:tcPr>
        <w:tcBorders>
          <w:top w:val="nil"/>
          <w:left w:val="nil"/>
          <w:bottom w:val="nil"/>
          <w:right w:val="nil"/>
          <w:insideH w:val="nil"/>
          <w:insideV w:val="nil"/>
          <w:tl2br w:val="nil"/>
          <w:tr2bl w:val="nil"/>
        </w:tcBorders>
        <w:shd w:val="clear" w:color="auto" w:fill="DDDDDD" w:themeFill="accent1"/>
      </w:tcPr>
    </w:tblStylePr>
    <w:tblStylePr w:type="lastRow">
      <w:rPr>
        <w:b/>
      </w:rPr>
    </w:tblStylePr>
    <w:tblStylePr w:type="firstCol">
      <w:pPr>
        <w:jc w:val="left"/>
      </w:pPr>
    </w:tblStylePr>
    <w:tblStylePr w:type="lastCol">
      <w:pPr>
        <w:wordWrap/>
        <w:spacing w:beforeLines="0" w:before="0" w:beforeAutospacing="0" w:afterLines="0" w:after="0" w:afterAutospacing="0" w:line="288" w:lineRule="auto"/>
      </w:pPr>
      <w:tblPr/>
      <w:tcPr>
        <w:shd w:val="clear" w:color="auto" w:fill="BFE4FF" w:themeFill="accent3" w:themeFillTint="33"/>
      </w:tcPr>
    </w:tblStylePr>
  </w:style>
  <w:style w:type="character" w:customStyle="1" w:styleId="Nevyeenzmnka1">
    <w:name w:val="Nevyřešená zmínka1"/>
    <w:basedOn w:val="Standardnpsmoodstavce"/>
    <w:uiPriority w:val="99"/>
    <w:semiHidden/>
    <w:unhideWhenUsed/>
    <w:rsid w:val="00576A6F"/>
    <w:rPr>
      <w:color w:val="808080"/>
      <w:shd w:val="clear" w:color="auto" w:fill="E6E6E6"/>
    </w:rPr>
  </w:style>
  <w:style w:type="character" w:customStyle="1" w:styleId="Nadpis1Char">
    <w:name w:val="Nadpis 1 Char"/>
    <w:basedOn w:val="Standardnpsmoodstavce"/>
    <w:link w:val="Nadpis1"/>
    <w:rsid w:val="000F3E7A"/>
    <w:rPr>
      <w:rFonts w:ascii="Arial" w:eastAsiaTheme="majorEastAsia" w:hAnsi="Arial" w:cs="Arial"/>
      <w:bCs/>
      <w:kern w:val="32"/>
      <w:sz w:val="28"/>
      <w:szCs w:val="32"/>
    </w:rPr>
  </w:style>
  <w:style w:type="character" w:customStyle="1" w:styleId="Nadpis2Char">
    <w:name w:val="Nadpis 2 Char"/>
    <w:basedOn w:val="Standardnpsmoodstavce"/>
    <w:link w:val="Nadpis2"/>
    <w:rsid w:val="00346AB2"/>
    <w:rPr>
      <w:rFonts w:ascii="Arial" w:eastAsiaTheme="majorEastAsia" w:hAnsi="Arial" w:cs="Arial"/>
      <w:b/>
      <w:bCs/>
      <w:iCs/>
      <w:sz w:val="24"/>
      <w:szCs w:val="28"/>
    </w:rPr>
  </w:style>
  <w:style w:type="character" w:customStyle="1" w:styleId="Nadpis3Char">
    <w:name w:val="Nadpis 3 Char"/>
    <w:basedOn w:val="Standardnpsmoodstavce"/>
    <w:link w:val="Nadpis3"/>
    <w:rsid w:val="00346AB2"/>
    <w:rPr>
      <w:rFonts w:ascii="Arial" w:eastAsiaTheme="majorEastAsia" w:hAnsi="Arial" w:cs="Arial"/>
      <w:bCs/>
      <w:sz w:val="24"/>
      <w:szCs w:val="26"/>
    </w:rPr>
  </w:style>
  <w:style w:type="character" w:customStyle="1" w:styleId="Nadpis4Char">
    <w:name w:val="Nadpis 4 Char"/>
    <w:basedOn w:val="Standardnpsmoodstavce"/>
    <w:link w:val="Nadpis4"/>
    <w:rsid w:val="00346AB2"/>
    <w:rPr>
      <w:rFonts w:ascii="Arial" w:eastAsiaTheme="majorEastAsia" w:hAnsi="Arial" w:cstheme="majorBidi"/>
      <w:bCs/>
      <w:i/>
      <w:sz w:val="24"/>
      <w:szCs w:val="28"/>
    </w:rPr>
  </w:style>
  <w:style w:type="character" w:customStyle="1" w:styleId="Nadpis5Char">
    <w:name w:val="Nadpis 5 Char"/>
    <w:basedOn w:val="Standardnpsmoodstavce"/>
    <w:link w:val="Nadpis5"/>
    <w:semiHidden/>
    <w:rsid w:val="00576A6F"/>
    <w:rPr>
      <w:rFonts w:asciiTheme="majorHAnsi" w:eastAsiaTheme="majorEastAsia" w:hAnsiTheme="majorHAnsi" w:cstheme="majorBidi"/>
      <w:color w:val="A5A5A5" w:themeColor="accent1" w:themeShade="BF"/>
      <w:sz w:val="22"/>
      <w:szCs w:val="24"/>
    </w:rPr>
  </w:style>
  <w:style w:type="character" w:customStyle="1" w:styleId="Nadpis6Char">
    <w:name w:val="Nadpis 6 Char"/>
    <w:basedOn w:val="Standardnpsmoodstavce"/>
    <w:link w:val="Nadpis6"/>
    <w:semiHidden/>
    <w:rsid w:val="00576A6F"/>
    <w:rPr>
      <w:rFonts w:asciiTheme="majorHAnsi" w:eastAsiaTheme="majorEastAsia" w:hAnsiTheme="majorHAnsi" w:cstheme="majorBidi"/>
      <w:color w:val="6E6E6E" w:themeColor="accent1" w:themeShade="7F"/>
      <w:sz w:val="22"/>
      <w:szCs w:val="24"/>
    </w:rPr>
  </w:style>
  <w:style w:type="character" w:customStyle="1" w:styleId="Nadpis7Char">
    <w:name w:val="Nadpis 7 Char"/>
    <w:basedOn w:val="Standardnpsmoodstavce"/>
    <w:link w:val="Nadpis7"/>
    <w:semiHidden/>
    <w:rsid w:val="00576A6F"/>
    <w:rPr>
      <w:rFonts w:asciiTheme="majorHAnsi" w:eastAsiaTheme="majorEastAsia" w:hAnsiTheme="majorHAnsi" w:cstheme="majorBidi"/>
      <w:i/>
      <w:iCs/>
      <w:color w:val="6E6E6E" w:themeColor="accent1" w:themeShade="7F"/>
      <w:sz w:val="22"/>
      <w:szCs w:val="24"/>
    </w:rPr>
  </w:style>
  <w:style w:type="character" w:customStyle="1" w:styleId="Nadpis8Char">
    <w:name w:val="Nadpis 8 Char"/>
    <w:basedOn w:val="Standardnpsmoodstavce"/>
    <w:link w:val="Nadpis8"/>
    <w:semiHidden/>
    <w:rsid w:val="00576A6F"/>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semiHidden/>
    <w:rsid w:val="00576A6F"/>
    <w:rPr>
      <w:rFonts w:asciiTheme="majorHAnsi" w:eastAsiaTheme="majorEastAsia" w:hAnsiTheme="majorHAnsi" w:cstheme="majorBidi"/>
      <w:i/>
      <w:iCs/>
      <w:color w:val="272727" w:themeColor="text1" w:themeTint="D8"/>
      <w:sz w:val="21"/>
      <w:szCs w:val="21"/>
    </w:rPr>
  </w:style>
  <w:style w:type="paragraph" w:styleId="Titulek">
    <w:name w:val="caption"/>
    <w:basedOn w:val="Normln"/>
    <w:next w:val="Normln"/>
    <w:semiHidden/>
    <w:unhideWhenUsed/>
    <w:qFormat/>
    <w:rsid w:val="00576A6F"/>
    <w:pPr>
      <w:spacing w:before="0" w:after="200" w:line="240" w:lineRule="auto"/>
    </w:pPr>
    <w:rPr>
      <w:i/>
      <w:iCs/>
      <w:color w:val="000000" w:themeColor="text2"/>
      <w:sz w:val="18"/>
      <w:szCs w:val="18"/>
    </w:rPr>
  </w:style>
  <w:style w:type="paragraph" w:styleId="Nzev">
    <w:name w:val="Title"/>
    <w:basedOn w:val="Normln"/>
    <w:next w:val="Normln"/>
    <w:link w:val="NzevChar"/>
    <w:qFormat/>
    <w:rsid w:val="00576A6F"/>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rsid w:val="00576A6F"/>
    <w:rPr>
      <w:rFonts w:asciiTheme="majorHAnsi" w:eastAsiaTheme="majorEastAsia" w:hAnsiTheme="majorHAnsi" w:cstheme="majorBidi"/>
      <w:spacing w:val="-10"/>
      <w:kern w:val="28"/>
      <w:sz w:val="56"/>
      <w:szCs w:val="56"/>
    </w:rPr>
  </w:style>
  <w:style w:type="paragraph" w:styleId="Podtitul">
    <w:name w:val="Subtitle"/>
    <w:basedOn w:val="Normln"/>
    <w:next w:val="Normln"/>
    <w:link w:val="PodtitulChar"/>
    <w:uiPriority w:val="11"/>
    <w:qFormat/>
    <w:rsid w:val="00576A6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itulChar">
    <w:name w:val="Podtitul Char"/>
    <w:basedOn w:val="Standardnpsmoodstavce"/>
    <w:link w:val="Podtitul"/>
    <w:uiPriority w:val="11"/>
    <w:rsid w:val="00576A6F"/>
    <w:rPr>
      <w:rFonts w:asciiTheme="minorHAnsi" w:eastAsiaTheme="minorEastAsia" w:hAnsiTheme="minorHAnsi" w:cstheme="minorBidi"/>
      <w:color w:val="5A5A5A" w:themeColor="text1" w:themeTint="A5"/>
      <w:spacing w:val="15"/>
      <w:sz w:val="22"/>
      <w:szCs w:val="22"/>
    </w:rPr>
  </w:style>
  <w:style w:type="character" w:styleId="Siln">
    <w:name w:val="Strong"/>
    <w:basedOn w:val="Standardnpsmoodstavce"/>
    <w:qFormat/>
    <w:rsid w:val="00576A6F"/>
    <w:rPr>
      <w:b/>
      <w:bCs/>
    </w:rPr>
  </w:style>
  <w:style w:type="character" w:styleId="Zvraznn">
    <w:name w:val="Emphasis"/>
    <w:basedOn w:val="Standardnpsmoodstavce"/>
    <w:qFormat/>
    <w:rsid w:val="00576A6F"/>
    <w:rPr>
      <w:i/>
      <w:iCs/>
    </w:rPr>
  </w:style>
  <w:style w:type="paragraph" w:styleId="Bezmezer">
    <w:name w:val="No Spacing"/>
    <w:uiPriority w:val="1"/>
    <w:qFormat/>
    <w:rsid w:val="00576A6F"/>
    <w:pPr>
      <w:jc w:val="both"/>
    </w:pPr>
    <w:rPr>
      <w:rFonts w:ascii="Arial" w:hAnsi="Arial"/>
      <w:sz w:val="22"/>
      <w:szCs w:val="24"/>
    </w:rPr>
  </w:style>
  <w:style w:type="paragraph" w:styleId="Citt">
    <w:name w:val="Quote"/>
    <w:basedOn w:val="Normln"/>
    <w:next w:val="Normln"/>
    <w:link w:val="CittChar"/>
    <w:uiPriority w:val="29"/>
    <w:qFormat/>
    <w:rsid w:val="00576A6F"/>
    <w:pPr>
      <w:spacing w:before="200" w:after="160"/>
      <w:ind w:left="864" w:right="864"/>
      <w:jc w:val="center"/>
    </w:pPr>
    <w:rPr>
      <w:rFonts w:eastAsiaTheme="majorEastAsia" w:cstheme="majorBidi"/>
      <w:i/>
      <w:iCs/>
      <w:color w:val="404040" w:themeColor="text1" w:themeTint="BF"/>
    </w:rPr>
  </w:style>
  <w:style w:type="character" w:customStyle="1" w:styleId="CittChar">
    <w:name w:val="Citát Char"/>
    <w:basedOn w:val="Standardnpsmoodstavce"/>
    <w:link w:val="Citt"/>
    <w:uiPriority w:val="29"/>
    <w:rsid w:val="00576A6F"/>
    <w:rPr>
      <w:rFonts w:ascii="Arial" w:eastAsiaTheme="majorEastAsia" w:hAnsi="Arial" w:cstheme="majorBidi"/>
      <w:i/>
      <w:iCs/>
      <w:color w:val="404040" w:themeColor="text1" w:themeTint="BF"/>
      <w:sz w:val="22"/>
      <w:szCs w:val="24"/>
    </w:rPr>
  </w:style>
  <w:style w:type="paragraph" w:styleId="Vrazncitt">
    <w:name w:val="Intense Quote"/>
    <w:basedOn w:val="Normln"/>
    <w:next w:val="Normln"/>
    <w:link w:val="VrazncittChar"/>
    <w:uiPriority w:val="30"/>
    <w:qFormat/>
    <w:rsid w:val="00576A6F"/>
    <w:pPr>
      <w:pBdr>
        <w:top w:val="single" w:sz="4" w:space="10" w:color="DDDDDD" w:themeColor="accent1"/>
        <w:bottom w:val="single" w:sz="4" w:space="10" w:color="DDDDDD" w:themeColor="accent1"/>
      </w:pBdr>
      <w:spacing w:before="360" w:after="360"/>
      <w:ind w:left="864" w:right="864"/>
      <w:jc w:val="center"/>
    </w:pPr>
    <w:rPr>
      <w:rFonts w:eastAsiaTheme="majorEastAsia" w:cstheme="majorBidi"/>
      <w:i/>
      <w:iCs/>
      <w:color w:val="DDDDDD" w:themeColor="accent1"/>
    </w:rPr>
  </w:style>
  <w:style w:type="character" w:customStyle="1" w:styleId="VrazncittChar">
    <w:name w:val="Výrazný citát Char"/>
    <w:basedOn w:val="Standardnpsmoodstavce"/>
    <w:link w:val="Vrazncitt"/>
    <w:uiPriority w:val="30"/>
    <w:rsid w:val="00576A6F"/>
    <w:rPr>
      <w:rFonts w:ascii="Arial" w:eastAsiaTheme="majorEastAsia" w:hAnsi="Arial" w:cstheme="majorBidi"/>
      <w:i/>
      <w:iCs/>
      <w:color w:val="DDDDDD" w:themeColor="accent1"/>
      <w:sz w:val="22"/>
      <w:szCs w:val="24"/>
    </w:rPr>
  </w:style>
  <w:style w:type="character" w:styleId="Zdraznnjemn">
    <w:name w:val="Subtle Emphasis"/>
    <w:basedOn w:val="Standardnpsmoodstavce"/>
    <w:uiPriority w:val="19"/>
    <w:qFormat/>
    <w:rsid w:val="00576A6F"/>
    <w:rPr>
      <w:i/>
      <w:iCs/>
      <w:color w:val="404040" w:themeColor="text1" w:themeTint="BF"/>
    </w:rPr>
  </w:style>
  <w:style w:type="character" w:styleId="Zdraznnintenzivn">
    <w:name w:val="Intense Emphasis"/>
    <w:basedOn w:val="Standardnpsmoodstavce"/>
    <w:uiPriority w:val="21"/>
    <w:qFormat/>
    <w:rsid w:val="00576A6F"/>
    <w:rPr>
      <w:i/>
      <w:iCs/>
      <w:color w:val="DDDDDD" w:themeColor="accent1"/>
    </w:rPr>
  </w:style>
  <w:style w:type="character" w:styleId="Odkazjemn">
    <w:name w:val="Subtle Reference"/>
    <w:basedOn w:val="Standardnpsmoodstavce"/>
    <w:uiPriority w:val="31"/>
    <w:qFormat/>
    <w:rsid w:val="00576A6F"/>
    <w:rPr>
      <w:smallCaps/>
      <w:color w:val="5A5A5A" w:themeColor="text1" w:themeTint="A5"/>
    </w:rPr>
  </w:style>
  <w:style w:type="character" w:styleId="Odkazintenzivn">
    <w:name w:val="Intense Reference"/>
    <w:basedOn w:val="Standardnpsmoodstavce"/>
    <w:uiPriority w:val="32"/>
    <w:qFormat/>
    <w:rsid w:val="00576A6F"/>
    <w:rPr>
      <w:b/>
      <w:bCs/>
      <w:smallCaps/>
      <w:color w:val="DDDDDD" w:themeColor="accent1"/>
      <w:spacing w:val="5"/>
    </w:rPr>
  </w:style>
  <w:style w:type="character" w:styleId="Nzevknihy">
    <w:name w:val="Book Title"/>
    <w:basedOn w:val="Standardnpsmoodstavce"/>
    <w:uiPriority w:val="33"/>
    <w:qFormat/>
    <w:rsid w:val="00576A6F"/>
    <w:rPr>
      <w:b/>
      <w:bCs/>
      <w:i/>
      <w:iCs/>
      <w:spacing w:val="5"/>
    </w:rPr>
  </w:style>
  <w:style w:type="paragraph" w:styleId="Nadpisobsahu">
    <w:name w:val="TOC Heading"/>
    <w:basedOn w:val="Nadpis1"/>
    <w:next w:val="Normln"/>
    <w:uiPriority w:val="39"/>
    <w:semiHidden/>
    <w:unhideWhenUsed/>
    <w:qFormat/>
    <w:rsid w:val="00576A6F"/>
    <w:pPr>
      <w:keepLines/>
      <w:spacing w:before="240" w:after="0"/>
      <w:jc w:val="both"/>
      <w:outlineLvl w:val="9"/>
    </w:pPr>
    <w:rPr>
      <w:rFonts w:asciiTheme="majorHAnsi" w:hAnsiTheme="majorHAnsi" w:cstheme="majorBidi"/>
      <w:bCs w:val="0"/>
      <w:color w:val="A5A5A5" w:themeColor="accent1" w:themeShade="BF"/>
      <w:kern w:val="0"/>
      <w:sz w:val="32"/>
    </w:rPr>
  </w:style>
  <w:style w:type="paragraph" w:customStyle="1" w:styleId="TZzhlav">
    <w:name w:val="TZ záhlaví"/>
    <w:basedOn w:val="Zhlav"/>
    <w:next w:val="ra"/>
    <w:rsid w:val="00662F1E"/>
    <w:pPr>
      <w:spacing w:before="780"/>
    </w:pPr>
  </w:style>
  <w:style w:type="paragraph" w:customStyle="1" w:styleId="TZTiskovzprva">
    <w:name w:val="TZ Tisková zpráva"/>
    <w:basedOn w:val="Normln"/>
    <w:qFormat/>
    <w:rsid w:val="00214F7C"/>
    <w:pPr>
      <w:spacing w:line="240" w:lineRule="auto"/>
      <w:jc w:val="right"/>
    </w:pPr>
    <w:rPr>
      <w:rFonts w:ascii="Arial Black" w:hAnsi="Arial Black" w:cs="Arial"/>
      <w:color w:val="FF0000"/>
      <w:sz w:val="28"/>
      <w:szCs w:val="28"/>
    </w:rPr>
  </w:style>
  <w:style w:type="paragraph" w:customStyle="1" w:styleId="TZdatum">
    <w:name w:val="TZ datum"/>
    <w:basedOn w:val="Normln"/>
    <w:next w:val="TZstrnka"/>
    <w:qFormat/>
    <w:rsid w:val="00214F7C"/>
    <w:pPr>
      <w:jc w:val="right"/>
    </w:pPr>
    <w:rPr>
      <w:rFonts w:cs="Arial"/>
      <w:sz w:val="18"/>
      <w:szCs w:val="18"/>
    </w:rPr>
  </w:style>
  <w:style w:type="paragraph" w:customStyle="1" w:styleId="TZstrnka">
    <w:name w:val="TZ stránka"/>
    <w:basedOn w:val="Normln"/>
    <w:next w:val="TZslostrnky"/>
    <w:qFormat/>
    <w:rsid w:val="00214F7C"/>
    <w:pPr>
      <w:jc w:val="right"/>
    </w:pPr>
    <w:rPr>
      <w:rFonts w:cs="Arial"/>
      <w:sz w:val="18"/>
      <w:szCs w:val="18"/>
    </w:rPr>
  </w:style>
  <w:style w:type="paragraph" w:customStyle="1" w:styleId="TZslostrnky">
    <w:name w:val="TZ číslo stránky"/>
    <w:basedOn w:val="TZstrnka"/>
    <w:qFormat/>
    <w:rsid w:val="00214F7C"/>
  </w:style>
  <w:style w:type="paragraph" w:customStyle="1" w:styleId="TZadresa">
    <w:name w:val="TZ adresa"/>
    <w:basedOn w:val="Normln"/>
    <w:qFormat/>
    <w:rsid w:val="00BE364F"/>
    <w:pPr>
      <w:spacing w:before="0"/>
      <w:jc w:val="right"/>
    </w:pPr>
    <w:rPr>
      <w:rFonts w:cs="Arial"/>
      <w:sz w:val="18"/>
      <w:szCs w:val="16"/>
    </w:rPr>
  </w:style>
  <w:style w:type="paragraph" w:customStyle="1" w:styleId="TZnadpis">
    <w:name w:val="TZ nadpis"/>
    <w:basedOn w:val="Normln"/>
    <w:next w:val="TZperex"/>
    <w:qFormat/>
    <w:rsid w:val="00F01EC7"/>
    <w:pPr>
      <w:spacing w:before="0"/>
    </w:pPr>
    <w:rPr>
      <w:rFonts w:cs="Arial"/>
      <w:sz w:val="28"/>
    </w:rPr>
  </w:style>
  <w:style w:type="paragraph" w:customStyle="1" w:styleId="TZbackgroundskupiny">
    <w:name w:val="TZ background skupiny"/>
    <w:basedOn w:val="Normln"/>
    <w:qFormat/>
    <w:rsid w:val="00BE364F"/>
    <w:rPr>
      <w:rFonts w:cs="Arial"/>
      <w:i/>
      <w:sz w:val="20"/>
    </w:rPr>
  </w:style>
  <w:style w:type="paragraph" w:customStyle="1" w:styleId="TZbackbroundspolenosti">
    <w:name w:val="TZ backbround společnosti"/>
    <w:basedOn w:val="Normln"/>
    <w:next w:val="TZbackgroundskupiny"/>
    <w:qFormat/>
    <w:rsid w:val="00BE364F"/>
    <w:pPr>
      <w:spacing w:before="480" w:after="240"/>
    </w:pPr>
    <w:rPr>
      <w:rFonts w:cs="Arial"/>
      <w:i/>
      <w:sz w:val="20"/>
    </w:rPr>
  </w:style>
  <w:style w:type="paragraph" w:customStyle="1" w:styleId="TZtextzprvy">
    <w:name w:val="TZ text zprávy"/>
    <w:basedOn w:val="Normln"/>
    <w:qFormat/>
    <w:rsid w:val="00BE364F"/>
    <w:pPr>
      <w:spacing w:before="100" w:beforeAutospacing="1" w:after="100" w:afterAutospacing="1"/>
    </w:pPr>
    <w:rPr>
      <w:rFonts w:cs="Arial"/>
      <w:szCs w:val="22"/>
    </w:rPr>
  </w:style>
  <w:style w:type="paragraph" w:customStyle="1" w:styleId="TZperex">
    <w:name w:val="TZ perex"/>
    <w:basedOn w:val="Normln"/>
    <w:next w:val="TZtextzprvy"/>
    <w:qFormat/>
    <w:rsid w:val="00BE364F"/>
    <w:pPr>
      <w:spacing w:before="100" w:beforeAutospacing="1" w:after="100" w:afterAutospacing="1"/>
    </w:pPr>
    <w:rPr>
      <w:rFonts w:cs="Arial"/>
      <w:b/>
      <w:szCs w:val="22"/>
    </w:rPr>
  </w:style>
  <w:style w:type="paragraph" w:customStyle="1" w:styleId="ra">
    <w:name w:val="čára"/>
    <w:basedOn w:val="Zhlav"/>
    <w:next w:val="Zpat"/>
    <w:rsid w:val="00713836"/>
    <w:pPr>
      <w:pBdr>
        <w:bottom w:val="single" w:sz="4" w:space="1" w:color="auto"/>
      </w:pBdr>
      <w:spacing w:before="0" w:after="60"/>
    </w:pPr>
    <w:rPr>
      <w:sz w:val="4"/>
    </w:rPr>
  </w:style>
  <w:style w:type="paragraph" w:customStyle="1" w:styleId="Odrka3">
    <w:name w:val="Odrážka 3"/>
    <w:basedOn w:val="Odrka2"/>
    <w:qFormat/>
    <w:rsid w:val="000F3E7A"/>
    <w:pPr>
      <w:numPr>
        <w:ilvl w:val="1"/>
      </w:numPr>
    </w:pPr>
  </w:style>
  <w:style w:type="paragraph" w:styleId="Osloven">
    <w:name w:val="Salutation"/>
    <w:basedOn w:val="Normln"/>
    <w:next w:val="Normln"/>
    <w:link w:val="OslovenChar"/>
    <w:rsid w:val="00346AB2"/>
  </w:style>
  <w:style w:type="character" w:customStyle="1" w:styleId="OslovenChar">
    <w:name w:val="Oslovení Char"/>
    <w:basedOn w:val="Standardnpsmoodstavce"/>
    <w:link w:val="Osloven"/>
    <w:rsid w:val="00346AB2"/>
    <w:rPr>
      <w:rFonts w:ascii="Arial" w:hAnsi="Arial"/>
      <w:sz w:val="22"/>
      <w:szCs w:val="24"/>
    </w:rPr>
  </w:style>
  <w:style w:type="paragraph" w:styleId="Zkladntext">
    <w:name w:val="Body Text"/>
    <w:basedOn w:val="Normln"/>
    <w:link w:val="ZkladntextChar"/>
    <w:semiHidden/>
    <w:unhideWhenUsed/>
    <w:rsid w:val="00346AB2"/>
    <w:pPr>
      <w:spacing w:after="120"/>
    </w:pPr>
  </w:style>
  <w:style w:type="character" w:customStyle="1" w:styleId="ZkladntextChar">
    <w:name w:val="Základní text Char"/>
    <w:basedOn w:val="Standardnpsmoodstavce"/>
    <w:link w:val="Zkladntext"/>
    <w:semiHidden/>
    <w:rsid w:val="00346AB2"/>
    <w:rPr>
      <w:rFonts w:ascii="Arial" w:hAnsi="Arial"/>
      <w:sz w:val="22"/>
      <w:szCs w:val="24"/>
    </w:rPr>
  </w:style>
  <w:style w:type="paragraph" w:styleId="Zkladntext-prvnodsazen">
    <w:name w:val="Body Text First Indent"/>
    <w:basedOn w:val="Zkladntext"/>
    <w:link w:val="Zkladntext-prvnodsazenChar"/>
    <w:rsid w:val="00346AB2"/>
    <w:pPr>
      <w:spacing w:after="0"/>
      <w:ind w:firstLine="360"/>
    </w:pPr>
  </w:style>
  <w:style w:type="character" w:customStyle="1" w:styleId="Zkladntext-prvnodsazenChar">
    <w:name w:val="Základní text - první odsazený Char"/>
    <w:basedOn w:val="ZkladntextChar"/>
    <w:link w:val="Zkladntext-prvnodsazen"/>
    <w:rsid w:val="00346AB2"/>
    <w:rPr>
      <w:rFonts w:ascii="Arial" w:hAnsi="Arial"/>
      <w:sz w:val="22"/>
      <w:szCs w:val="24"/>
    </w:rPr>
  </w:style>
  <w:style w:type="paragraph" w:styleId="Odstavecseseznamem">
    <w:name w:val="List Paragraph"/>
    <w:basedOn w:val="Normln"/>
    <w:uiPriority w:val="34"/>
    <w:qFormat/>
    <w:rsid w:val="00346AB2"/>
    <w:pPr>
      <w:ind w:left="720"/>
      <w:contextualSpacing/>
    </w:pPr>
  </w:style>
  <w:style w:type="paragraph" w:styleId="slovanseznam">
    <w:name w:val="List Number"/>
    <w:basedOn w:val="Normln"/>
    <w:rsid w:val="00346754"/>
    <w:pPr>
      <w:numPr>
        <w:numId w:val="3"/>
      </w:numPr>
      <w:contextualSpacing/>
      <w:jc w:val="left"/>
    </w:pPr>
  </w:style>
  <w:style w:type="paragraph" w:customStyle="1" w:styleId="dopisoknkoadresa">
    <w:name w:val="dopis okénko adresa"/>
    <w:basedOn w:val="Normln"/>
    <w:rsid w:val="00196C6D"/>
    <w:pPr>
      <w:spacing w:before="0" w:line="240" w:lineRule="auto"/>
    </w:pPr>
    <w:rPr>
      <w:sz w:val="21"/>
    </w:rPr>
  </w:style>
  <w:style w:type="paragraph" w:customStyle="1" w:styleId="dopisznaka">
    <w:name w:val="dopis značka"/>
    <w:basedOn w:val="Normln"/>
    <w:rsid w:val="00196C6D"/>
    <w:pPr>
      <w:jc w:val="left"/>
    </w:pPr>
    <w:rPr>
      <w:sz w:val="17"/>
      <w:szCs w:val="18"/>
    </w:rPr>
  </w:style>
  <w:style w:type="paragraph" w:customStyle="1" w:styleId="dopisosloven">
    <w:name w:val="dopis oslovení"/>
    <w:basedOn w:val="Normln"/>
    <w:rsid w:val="00D35CD8"/>
    <w:pPr>
      <w:spacing w:before="480" w:after="360"/>
    </w:pPr>
  </w:style>
  <w:style w:type="paragraph" w:customStyle="1" w:styleId="dopisVc">
    <w:name w:val="dopis Věc:"/>
    <w:basedOn w:val="Normln"/>
    <w:rsid w:val="00196C6D"/>
    <w:pPr>
      <w:spacing w:before="360" w:after="480"/>
    </w:pPr>
    <w:rPr>
      <w:b/>
    </w:rPr>
  </w:style>
  <w:style w:type="paragraph" w:customStyle="1" w:styleId="dopispodpis">
    <w:name w:val="dopis podpis"/>
    <w:basedOn w:val="Normln"/>
    <w:rsid w:val="005E2F3E"/>
    <w:pPr>
      <w:tabs>
        <w:tab w:val="left" w:pos="4962"/>
      </w:tabs>
      <w:spacing w:before="0"/>
    </w:pPr>
  </w:style>
  <w:style w:type="paragraph" w:customStyle="1" w:styleId="dopisspozdravem">
    <w:name w:val="dopis s pozdravem"/>
    <w:basedOn w:val="Normln"/>
    <w:next w:val="dopispodpis"/>
    <w:rsid w:val="005E2F3E"/>
    <w:pPr>
      <w:spacing w:before="600" w:after="1200"/>
    </w:pPr>
  </w:style>
  <w:style w:type="paragraph" w:customStyle="1" w:styleId="dopisploha">
    <w:name w:val="dopis příloha"/>
    <w:basedOn w:val="Normln"/>
    <w:rsid w:val="00196C6D"/>
    <w:pPr>
      <w:spacing w:before="600"/>
    </w:pPr>
    <w:rPr>
      <w:i/>
    </w:rPr>
  </w:style>
  <w:style w:type="table" w:customStyle="1" w:styleId="MVV5">
    <w:name w:val="MVV 5"/>
    <w:basedOn w:val="MVV1"/>
    <w:uiPriority w:val="99"/>
    <w:rsid w:val="00522E22"/>
    <w:tblPr>
      <w:tblStyleRowBandSize w:val="1"/>
    </w:tblPr>
    <w:tblStylePr w:type="firstRow">
      <w:rPr>
        <w:b/>
      </w:rPr>
    </w:tblStylePr>
    <w:tblStylePr w:type="lastRow">
      <w:rPr>
        <w:b/>
      </w:rPr>
    </w:tblStylePr>
    <w:tblStylePr w:type="firstCol">
      <w:pPr>
        <w:jc w:val="left"/>
      </w:pPr>
    </w:tblStylePr>
    <w:tblStylePr w:type="lastCol">
      <w:pPr>
        <w:wordWrap/>
        <w:spacing w:beforeLines="0" w:before="0" w:beforeAutospacing="0" w:afterLines="0" w:after="0" w:afterAutospacing="0" w:line="288" w:lineRule="auto"/>
      </w:pPr>
      <w:rPr>
        <w:b/>
      </w:rPr>
      <w:tblPr/>
      <w:tcPr>
        <w:shd w:val="clear" w:color="auto" w:fill="BFE4FF" w:themeFill="accent3"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tcPr>
    </w:tblStylePr>
  </w:style>
  <w:style w:type="paragraph" w:customStyle="1" w:styleId="tabulkatextvlevo">
    <w:name w:val="tabulka text vlevo"/>
    <w:basedOn w:val="Normln"/>
    <w:qFormat/>
    <w:rsid w:val="00522E22"/>
    <w:pPr>
      <w:spacing w:before="0"/>
      <w:jc w:val="left"/>
    </w:pPr>
    <w:rPr>
      <w:rFonts w:eastAsiaTheme="minorHAnsi" w:cstheme="minorBidi"/>
      <w:sz w:val="20"/>
      <w:szCs w:val="22"/>
      <w:lang w:eastAsia="en-US"/>
    </w:rPr>
  </w:style>
  <w:style w:type="table" w:styleId="Mkatabulky">
    <w:name w:val="Table Grid"/>
    <w:aliases w:val="MVV tabulka"/>
    <w:basedOn w:val="Normlntabulka"/>
    <w:uiPriority w:val="59"/>
    <w:rsid w:val="008D459B"/>
    <w:pPr>
      <w:jc w:val="right"/>
    </w:pPr>
    <w:rPr>
      <w:rFonts w:ascii="Arial" w:eastAsiaTheme="minorHAnsi" w:hAnsi="Arial" w:cstheme="minorBidi"/>
      <w:szCs w:val="22"/>
      <w:lang w:eastAsia="en-US"/>
    </w:rPr>
    <w:tblPr>
      <w:jc w:val="right"/>
      <w:tblBorders>
        <w:top w:val="single" w:sz="4" w:space="0" w:color="FF0000"/>
        <w:bottom w:val="single" w:sz="4" w:space="0" w:color="7F7F7F" w:themeColor="text1" w:themeTint="80"/>
        <w:insideH w:val="single" w:sz="4" w:space="0" w:color="7F7F7F" w:themeColor="text1" w:themeTint="80"/>
      </w:tblBorders>
    </w:tblPr>
    <w:trPr>
      <w:jc w:val="right"/>
    </w:trPr>
    <w:tcPr>
      <w:vAlign w:val="center"/>
    </w:tcPr>
    <w:tblStylePr w:type="firstRow">
      <w:pPr>
        <w:wordWrap/>
        <w:spacing w:beforeLines="0" w:before="0" w:beforeAutospacing="0" w:afterLines="0" w:after="0" w:afterAutospacing="0" w:line="240" w:lineRule="auto"/>
        <w:jc w:val="right"/>
      </w:pPr>
      <w:tblPr/>
      <w:tcPr>
        <w:tcBorders>
          <w:top w:val="single" w:sz="4" w:space="0" w:color="FF0000"/>
          <w:bottom w:val="nil"/>
          <w:insideH w:val="single" w:sz="4" w:space="0" w:color="FF0000"/>
        </w:tcBorders>
      </w:tcPr>
    </w:tblStylePr>
    <w:tblStylePr w:type="lastRow">
      <w:pPr>
        <w:jc w:val="right"/>
      </w:pPr>
    </w:tblStylePr>
    <w:tblStylePr w:type="firstCol">
      <w:pPr>
        <w:jc w:val="left"/>
      </w:pPr>
    </w:tblStylePr>
    <w:tblStylePr w:type="lastCol">
      <w:pPr>
        <w:jc w:val="right"/>
      </w:pPr>
      <w:rPr>
        <w:rFonts w:ascii="Arial" w:hAnsi="Arial"/>
        <w:sz w:val="20"/>
      </w:rPr>
      <w:tblPr>
        <w:jc w:val="left"/>
      </w:tblPr>
      <w:trPr>
        <w:jc w:val="left"/>
      </w:trPr>
      <w:tcPr>
        <w:shd w:val="clear" w:color="auto" w:fill="D9D9D9" w:themeFill="background1" w:themeFillShade="D9"/>
      </w:tcPr>
    </w:tblStylePr>
  </w:style>
  <w:style w:type="character" w:customStyle="1" w:styleId="UnresolvedMention">
    <w:name w:val="Unresolved Mention"/>
    <w:basedOn w:val="Standardnpsmoodstavce"/>
    <w:uiPriority w:val="99"/>
    <w:semiHidden/>
    <w:unhideWhenUsed/>
    <w:rsid w:val="009B3695"/>
    <w:rPr>
      <w:color w:val="605E5C"/>
      <w:shd w:val="clear" w:color="auto" w:fill="E1DFDD"/>
    </w:rPr>
  </w:style>
  <w:style w:type="paragraph" w:styleId="Normlnweb">
    <w:name w:val="Normal (Web)"/>
    <w:basedOn w:val="Normln"/>
    <w:uiPriority w:val="99"/>
    <w:semiHidden/>
    <w:unhideWhenUsed/>
    <w:rsid w:val="00E86FD5"/>
    <w:pPr>
      <w:spacing w:before="100" w:beforeAutospacing="1" w:after="100" w:afterAutospacing="1" w:line="240" w:lineRule="auto"/>
      <w:jc w:val="left"/>
    </w:pPr>
    <w:rPr>
      <w:rFonts w:ascii="Times New Roman" w:hAnsi="Times New Roman"/>
      <w:sz w:val="24"/>
    </w:rPr>
  </w:style>
  <w:style w:type="character" w:styleId="Odkaznakoment">
    <w:name w:val="annotation reference"/>
    <w:basedOn w:val="Standardnpsmoodstavce"/>
    <w:uiPriority w:val="99"/>
    <w:semiHidden/>
    <w:unhideWhenUsed/>
    <w:qFormat/>
    <w:rsid w:val="00D70EC1"/>
    <w:rPr>
      <w:sz w:val="16"/>
      <w:szCs w:val="16"/>
    </w:rPr>
  </w:style>
  <w:style w:type="paragraph" w:styleId="Textkomente">
    <w:name w:val="annotation text"/>
    <w:basedOn w:val="Normln"/>
    <w:link w:val="TextkomenteChar"/>
    <w:uiPriority w:val="99"/>
    <w:unhideWhenUsed/>
    <w:qFormat/>
    <w:rsid w:val="00D70EC1"/>
    <w:pPr>
      <w:spacing w:before="0" w:after="200" w:line="240" w:lineRule="auto"/>
      <w:jc w:val="left"/>
    </w:pPr>
    <w:rPr>
      <w:rFonts w:asciiTheme="minorHAnsi" w:eastAsiaTheme="minorHAnsi" w:hAnsiTheme="minorHAnsi" w:cstheme="minorBidi"/>
      <w:noProof w:val="0"/>
      <w:sz w:val="20"/>
      <w:szCs w:val="20"/>
      <w:lang w:eastAsia="en-US"/>
    </w:rPr>
  </w:style>
  <w:style w:type="character" w:customStyle="1" w:styleId="TextkomenteChar">
    <w:name w:val="Text komentáře Char"/>
    <w:basedOn w:val="Standardnpsmoodstavce"/>
    <w:link w:val="Textkomente"/>
    <w:uiPriority w:val="99"/>
    <w:qFormat/>
    <w:rsid w:val="00D70EC1"/>
    <w:rPr>
      <w:rFonts w:asciiTheme="minorHAnsi" w:eastAsiaTheme="minorHAnsi" w:hAnsiTheme="minorHAnsi" w:cstheme="minorBidi"/>
      <w:lang w:eastAsia="en-US"/>
    </w:rPr>
  </w:style>
  <w:style w:type="paragraph" w:styleId="Pedmtkomente">
    <w:name w:val="annotation subject"/>
    <w:basedOn w:val="Textkomente"/>
    <w:next w:val="Textkomente"/>
    <w:link w:val="PedmtkomenteChar"/>
    <w:semiHidden/>
    <w:unhideWhenUsed/>
    <w:rsid w:val="006465B3"/>
    <w:pPr>
      <w:spacing w:before="120" w:after="0"/>
      <w:jc w:val="both"/>
    </w:pPr>
    <w:rPr>
      <w:rFonts w:ascii="Arial" w:eastAsia="Times New Roman" w:hAnsi="Arial" w:cs="Times New Roman"/>
      <w:b/>
      <w:bCs/>
      <w:noProof/>
      <w:lang w:eastAsia="cs-CZ"/>
    </w:rPr>
  </w:style>
  <w:style w:type="character" w:customStyle="1" w:styleId="PedmtkomenteChar">
    <w:name w:val="Předmět komentáře Char"/>
    <w:basedOn w:val="TextkomenteChar"/>
    <w:link w:val="Pedmtkomente"/>
    <w:semiHidden/>
    <w:rsid w:val="006465B3"/>
    <w:rPr>
      <w:rFonts w:ascii="Arial" w:eastAsiaTheme="minorHAnsi" w:hAnsi="Arial" w:cstheme="minorBidi"/>
      <w:b/>
      <w:bCs/>
      <w:noProof/>
      <w:lang w:eastAsia="en-US"/>
    </w:rPr>
  </w:style>
  <w:style w:type="paragraph" w:styleId="Revize">
    <w:name w:val="Revision"/>
    <w:hidden/>
    <w:uiPriority w:val="99"/>
    <w:semiHidden/>
    <w:rsid w:val="00866924"/>
    <w:rPr>
      <w:rFonts w:ascii="Arial" w:hAnsi="Arial"/>
      <w:noProof/>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C64B8"/>
    <w:pPr>
      <w:spacing w:before="120" w:line="288" w:lineRule="auto"/>
      <w:jc w:val="both"/>
    </w:pPr>
    <w:rPr>
      <w:rFonts w:ascii="Arial" w:hAnsi="Arial"/>
      <w:noProof/>
      <w:sz w:val="22"/>
      <w:szCs w:val="24"/>
    </w:rPr>
  </w:style>
  <w:style w:type="paragraph" w:styleId="Nadpis1">
    <w:name w:val="heading 1"/>
    <w:basedOn w:val="Normln"/>
    <w:next w:val="Normln"/>
    <w:link w:val="Nadpis1Char"/>
    <w:qFormat/>
    <w:rsid w:val="000F3E7A"/>
    <w:pPr>
      <w:keepNext/>
      <w:spacing w:before="360" w:after="120"/>
      <w:jc w:val="center"/>
      <w:outlineLvl w:val="0"/>
    </w:pPr>
    <w:rPr>
      <w:rFonts w:eastAsiaTheme="majorEastAsia" w:cs="Arial"/>
      <w:bCs/>
      <w:kern w:val="32"/>
      <w:sz w:val="28"/>
      <w:szCs w:val="32"/>
    </w:rPr>
  </w:style>
  <w:style w:type="paragraph" w:styleId="Nadpis2">
    <w:name w:val="heading 2"/>
    <w:basedOn w:val="Normln"/>
    <w:next w:val="Normln"/>
    <w:link w:val="Nadpis2Char"/>
    <w:qFormat/>
    <w:rsid w:val="00346AB2"/>
    <w:pPr>
      <w:keepNext/>
      <w:spacing w:before="240"/>
      <w:jc w:val="left"/>
      <w:outlineLvl w:val="1"/>
    </w:pPr>
    <w:rPr>
      <w:rFonts w:eastAsiaTheme="majorEastAsia" w:cs="Arial"/>
      <w:b/>
      <w:bCs/>
      <w:iCs/>
      <w:sz w:val="24"/>
      <w:szCs w:val="28"/>
    </w:rPr>
  </w:style>
  <w:style w:type="paragraph" w:styleId="Nadpis3">
    <w:name w:val="heading 3"/>
    <w:basedOn w:val="Normln"/>
    <w:next w:val="Normln"/>
    <w:link w:val="Nadpis3Char"/>
    <w:qFormat/>
    <w:rsid w:val="00346AB2"/>
    <w:pPr>
      <w:keepNext/>
      <w:spacing w:before="240"/>
      <w:jc w:val="left"/>
      <w:outlineLvl w:val="2"/>
    </w:pPr>
    <w:rPr>
      <w:rFonts w:eastAsiaTheme="majorEastAsia" w:cs="Arial"/>
      <w:bCs/>
      <w:sz w:val="24"/>
      <w:szCs w:val="26"/>
    </w:rPr>
  </w:style>
  <w:style w:type="paragraph" w:styleId="Nadpis4">
    <w:name w:val="heading 4"/>
    <w:basedOn w:val="Normln"/>
    <w:next w:val="Normln"/>
    <w:link w:val="Nadpis4Char"/>
    <w:qFormat/>
    <w:rsid w:val="00346AB2"/>
    <w:pPr>
      <w:keepNext/>
      <w:spacing w:before="240"/>
      <w:jc w:val="left"/>
      <w:outlineLvl w:val="3"/>
    </w:pPr>
    <w:rPr>
      <w:rFonts w:eastAsiaTheme="majorEastAsia" w:cstheme="majorBidi"/>
      <w:bCs/>
      <w:i/>
      <w:sz w:val="24"/>
      <w:szCs w:val="28"/>
    </w:rPr>
  </w:style>
  <w:style w:type="paragraph" w:styleId="Nadpis5">
    <w:name w:val="heading 5"/>
    <w:basedOn w:val="Normln"/>
    <w:next w:val="Normln"/>
    <w:link w:val="Nadpis5Char"/>
    <w:semiHidden/>
    <w:unhideWhenUsed/>
    <w:qFormat/>
    <w:rsid w:val="00576A6F"/>
    <w:pPr>
      <w:keepNext/>
      <w:keepLines/>
      <w:spacing w:before="40"/>
      <w:outlineLvl w:val="4"/>
    </w:pPr>
    <w:rPr>
      <w:rFonts w:asciiTheme="majorHAnsi" w:eastAsiaTheme="majorEastAsia" w:hAnsiTheme="majorHAnsi" w:cstheme="majorBidi"/>
      <w:color w:val="A5A5A5" w:themeColor="accent1" w:themeShade="BF"/>
    </w:rPr>
  </w:style>
  <w:style w:type="paragraph" w:styleId="Nadpis6">
    <w:name w:val="heading 6"/>
    <w:basedOn w:val="Normln"/>
    <w:next w:val="Normln"/>
    <w:link w:val="Nadpis6Char"/>
    <w:semiHidden/>
    <w:unhideWhenUsed/>
    <w:qFormat/>
    <w:rsid w:val="00576A6F"/>
    <w:pPr>
      <w:keepNext/>
      <w:keepLines/>
      <w:spacing w:before="40"/>
      <w:outlineLvl w:val="5"/>
    </w:pPr>
    <w:rPr>
      <w:rFonts w:asciiTheme="majorHAnsi" w:eastAsiaTheme="majorEastAsia" w:hAnsiTheme="majorHAnsi" w:cstheme="majorBidi"/>
      <w:color w:val="6E6E6E" w:themeColor="accent1" w:themeShade="7F"/>
    </w:rPr>
  </w:style>
  <w:style w:type="paragraph" w:styleId="Nadpis7">
    <w:name w:val="heading 7"/>
    <w:basedOn w:val="Normln"/>
    <w:next w:val="Normln"/>
    <w:link w:val="Nadpis7Char"/>
    <w:semiHidden/>
    <w:unhideWhenUsed/>
    <w:qFormat/>
    <w:rsid w:val="00576A6F"/>
    <w:pPr>
      <w:keepNext/>
      <w:keepLines/>
      <w:spacing w:before="40"/>
      <w:outlineLvl w:val="6"/>
    </w:pPr>
    <w:rPr>
      <w:rFonts w:asciiTheme="majorHAnsi" w:eastAsiaTheme="majorEastAsia" w:hAnsiTheme="majorHAnsi" w:cstheme="majorBidi"/>
      <w:i/>
      <w:iCs/>
      <w:color w:val="6E6E6E" w:themeColor="accent1" w:themeShade="7F"/>
    </w:rPr>
  </w:style>
  <w:style w:type="paragraph" w:styleId="Nadpis8">
    <w:name w:val="heading 8"/>
    <w:basedOn w:val="Normln"/>
    <w:next w:val="Normln"/>
    <w:link w:val="Nadpis8Char"/>
    <w:semiHidden/>
    <w:unhideWhenUsed/>
    <w:qFormat/>
    <w:rsid w:val="00576A6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semiHidden/>
    <w:unhideWhenUsed/>
    <w:qFormat/>
    <w:rsid w:val="00576A6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662F1E"/>
    <w:pPr>
      <w:tabs>
        <w:tab w:val="left" w:pos="5865"/>
      </w:tabs>
      <w:spacing w:before="600" w:line="240" w:lineRule="auto"/>
      <w:jc w:val="right"/>
    </w:pPr>
    <w:rPr>
      <w:b/>
      <w:sz w:val="18"/>
    </w:rPr>
  </w:style>
  <w:style w:type="paragraph" w:styleId="Zpat">
    <w:name w:val="footer"/>
    <w:basedOn w:val="Normln"/>
    <w:link w:val="ZpatChar"/>
    <w:uiPriority w:val="99"/>
    <w:rsid w:val="00196C6D"/>
    <w:pPr>
      <w:tabs>
        <w:tab w:val="right" w:pos="9638"/>
      </w:tabs>
      <w:spacing w:before="0" w:line="240" w:lineRule="auto"/>
    </w:pPr>
    <w:rPr>
      <w:sz w:val="17"/>
      <w:szCs w:val="15"/>
    </w:rPr>
  </w:style>
  <w:style w:type="character" w:styleId="slostrnky">
    <w:name w:val="page number"/>
    <w:basedOn w:val="Standardnpsmoodstavce"/>
    <w:rPr>
      <w:rFonts w:ascii="Arial" w:hAnsi="Arial"/>
      <w:sz w:val="22"/>
    </w:rPr>
  </w:style>
  <w:style w:type="character" w:styleId="Hypertextovodkaz">
    <w:name w:val="Hyperlink"/>
    <w:basedOn w:val="Standardnpsmoodstavce"/>
    <w:rsid w:val="00FA1146"/>
    <w:rPr>
      <w:color w:val="0000FF"/>
      <w:u w:val="single"/>
    </w:rPr>
  </w:style>
  <w:style w:type="paragraph" w:customStyle="1" w:styleId="Odrka1">
    <w:name w:val="Odrážka 1"/>
    <w:basedOn w:val="Normln"/>
    <w:rsid w:val="00346AB2"/>
    <w:pPr>
      <w:numPr>
        <w:numId w:val="1"/>
      </w:numPr>
      <w:tabs>
        <w:tab w:val="clear" w:pos="360"/>
      </w:tabs>
      <w:ind w:left="340" w:hanging="340"/>
      <w:jc w:val="left"/>
    </w:pPr>
  </w:style>
  <w:style w:type="paragraph" w:customStyle="1" w:styleId="Odrka2">
    <w:name w:val="Odrážka 2"/>
    <w:basedOn w:val="Normln"/>
    <w:rsid w:val="00346AB2"/>
    <w:pPr>
      <w:numPr>
        <w:numId w:val="2"/>
      </w:numPr>
      <w:tabs>
        <w:tab w:val="clear" w:pos="644"/>
      </w:tabs>
      <w:spacing w:before="0"/>
      <w:ind w:left="680" w:hanging="340"/>
      <w:jc w:val="left"/>
    </w:pPr>
  </w:style>
  <w:style w:type="character" w:customStyle="1" w:styleId="ZhlavChar">
    <w:name w:val="Záhlaví Char"/>
    <w:basedOn w:val="Standardnpsmoodstavce"/>
    <w:link w:val="Zhlav"/>
    <w:rsid w:val="00662F1E"/>
    <w:rPr>
      <w:rFonts w:ascii="Arial" w:hAnsi="Arial"/>
      <w:b/>
      <w:sz w:val="18"/>
      <w:szCs w:val="24"/>
    </w:rPr>
  </w:style>
  <w:style w:type="character" w:customStyle="1" w:styleId="ZpatChar">
    <w:name w:val="Zápatí Char"/>
    <w:basedOn w:val="Standardnpsmoodstavce"/>
    <w:link w:val="Zpat"/>
    <w:uiPriority w:val="99"/>
    <w:rsid w:val="00196C6D"/>
    <w:rPr>
      <w:rFonts w:ascii="Arial" w:hAnsi="Arial"/>
      <w:sz w:val="17"/>
      <w:szCs w:val="15"/>
    </w:rPr>
  </w:style>
  <w:style w:type="paragraph" w:styleId="Textbubliny">
    <w:name w:val="Balloon Text"/>
    <w:basedOn w:val="Normln"/>
    <w:link w:val="TextbublinyChar"/>
    <w:rsid w:val="00346AB2"/>
    <w:pPr>
      <w:spacing w:before="0" w:line="240" w:lineRule="auto"/>
    </w:pPr>
    <w:rPr>
      <w:rFonts w:asciiTheme="majorHAnsi" w:hAnsiTheme="majorHAnsi" w:cs="Tahoma"/>
      <w:sz w:val="16"/>
      <w:szCs w:val="16"/>
    </w:rPr>
  </w:style>
  <w:style w:type="character" w:customStyle="1" w:styleId="TextbublinyChar">
    <w:name w:val="Text bubliny Char"/>
    <w:basedOn w:val="Standardnpsmoodstavce"/>
    <w:link w:val="Textbubliny"/>
    <w:rsid w:val="00346AB2"/>
    <w:rPr>
      <w:rFonts w:asciiTheme="majorHAnsi" w:hAnsiTheme="majorHAnsi" w:cs="Tahoma"/>
      <w:sz w:val="16"/>
      <w:szCs w:val="16"/>
    </w:rPr>
  </w:style>
  <w:style w:type="table" w:customStyle="1" w:styleId="MVV1">
    <w:name w:val="MVV 1"/>
    <w:basedOn w:val="Normlntabulka"/>
    <w:uiPriority w:val="99"/>
    <w:rsid w:val="008D459B"/>
    <w:pPr>
      <w:jc w:val="right"/>
    </w:pPr>
    <w:rPr>
      <w:rFonts w:ascii="Arial" w:hAnsi="Arial"/>
      <w:sz w:val="22"/>
    </w:rPr>
    <w:tblPr>
      <w:tblBorders>
        <w:top w:val="single" w:sz="4" w:space="0" w:color="DDDDDD" w:themeColor="accent1"/>
        <w:bottom w:val="single" w:sz="4" w:space="0" w:color="0070C0" w:themeColor="accent3"/>
        <w:insideH w:val="single" w:sz="4" w:space="0" w:color="0070C0" w:themeColor="accent3"/>
      </w:tblBorders>
    </w:tblPr>
    <w:tcPr>
      <w:vAlign w:val="center"/>
    </w:tcPr>
    <w:tblStylePr w:type="firstRow">
      <w:rPr>
        <w:b/>
      </w:rPr>
    </w:tblStylePr>
    <w:tblStylePr w:type="lastRow">
      <w:rPr>
        <w:b/>
      </w:rPr>
    </w:tblStylePr>
    <w:tblStylePr w:type="firstCol">
      <w:pPr>
        <w:jc w:val="left"/>
      </w:pPr>
    </w:tblStylePr>
    <w:tblStylePr w:type="lastCol">
      <w:pPr>
        <w:wordWrap/>
        <w:spacing w:beforeLines="0" w:before="0" w:beforeAutospacing="0" w:afterLines="0" w:after="0" w:afterAutospacing="0" w:line="288" w:lineRule="auto"/>
      </w:pPr>
      <w:tblPr/>
      <w:tcPr>
        <w:shd w:val="clear" w:color="auto" w:fill="BFE4FF" w:themeFill="accent3" w:themeFillTint="33"/>
      </w:tcPr>
    </w:tblStylePr>
  </w:style>
  <w:style w:type="paragraph" w:customStyle="1" w:styleId="tabulkatextvpravo">
    <w:name w:val="tabulka text vpravo"/>
    <w:basedOn w:val="tabulkatextvlevo"/>
    <w:qFormat/>
    <w:rsid w:val="00522E22"/>
    <w:pPr>
      <w:framePr w:hSpace="141" w:wrap="around" w:vAnchor="text" w:hAnchor="margin" w:y="260"/>
      <w:jc w:val="right"/>
    </w:pPr>
  </w:style>
  <w:style w:type="table" w:customStyle="1" w:styleId="MVV3">
    <w:name w:val="MVV 3"/>
    <w:basedOn w:val="MVV2"/>
    <w:uiPriority w:val="99"/>
    <w:rsid w:val="001A25BA"/>
    <w:tblPr/>
    <w:tblStylePr w:type="firstRow">
      <w:rPr>
        <w:b/>
        <w:color w:val="FFFFFF" w:themeColor="background1"/>
      </w:rPr>
      <w:tblPr/>
      <w:tcPr>
        <w:tcBorders>
          <w:top w:val="nil"/>
          <w:left w:val="nil"/>
          <w:bottom w:val="nil"/>
          <w:right w:val="nil"/>
          <w:insideH w:val="nil"/>
          <w:insideV w:val="nil"/>
          <w:tl2br w:val="nil"/>
          <w:tr2bl w:val="nil"/>
        </w:tcBorders>
        <w:shd w:val="clear" w:color="auto" w:fill="DDDDDD" w:themeFill="accent1"/>
      </w:tcPr>
    </w:tblStylePr>
    <w:tblStylePr w:type="lastRow">
      <w:rPr>
        <w:b/>
      </w:rPr>
    </w:tblStylePr>
    <w:tblStylePr w:type="firstCol">
      <w:pPr>
        <w:jc w:val="left"/>
      </w:pPr>
    </w:tblStylePr>
    <w:tblStylePr w:type="lastCol">
      <w:pPr>
        <w:wordWrap/>
        <w:spacing w:beforeLines="0" w:before="0" w:beforeAutospacing="0" w:afterLines="0" w:after="0" w:afterAutospacing="0" w:line="288" w:lineRule="auto"/>
      </w:pPr>
      <w:rPr>
        <w:b/>
      </w:rPr>
      <w:tblPr/>
      <w:tcPr>
        <w:shd w:val="clear" w:color="auto" w:fill="0070C0" w:themeFill="accent3"/>
      </w:tcPr>
    </w:tblStylePr>
  </w:style>
  <w:style w:type="table" w:customStyle="1" w:styleId="MVV4">
    <w:name w:val="MVV 4"/>
    <w:basedOn w:val="MVV2"/>
    <w:uiPriority w:val="99"/>
    <w:rsid w:val="001A25BA"/>
    <w:tblPr/>
    <w:tblStylePr w:type="firstRow">
      <w:rPr>
        <w:b/>
        <w:color w:val="FFFFFF" w:themeColor="background1"/>
      </w:rPr>
      <w:tblPr/>
      <w:tcPr>
        <w:tcBorders>
          <w:top w:val="nil"/>
          <w:left w:val="nil"/>
          <w:bottom w:val="nil"/>
          <w:right w:val="nil"/>
          <w:insideH w:val="nil"/>
          <w:insideV w:val="nil"/>
          <w:tl2br w:val="nil"/>
          <w:tr2bl w:val="nil"/>
        </w:tcBorders>
        <w:shd w:val="clear" w:color="auto" w:fill="DDDDDD" w:themeFill="accent1"/>
      </w:tcPr>
    </w:tblStylePr>
    <w:tblStylePr w:type="lastRow">
      <w:rPr>
        <w:b/>
      </w:rPr>
      <w:tblPr/>
      <w:tcPr>
        <w:shd w:val="clear" w:color="auto" w:fill="0070C0" w:themeFill="accent3"/>
      </w:tcPr>
    </w:tblStylePr>
    <w:tblStylePr w:type="firstCol">
      <w:pPr>
        <w:jc w:val="left"/>
      </w:pPr>
    </w:tblStylePr>
    <w:tblStylePr w:type="lastCol">
      <w:pPr>
        <w:wordWrap/>
        <w:spacing w:beforeLines="0" w:before="0" w:beforeAutospacing="0" w:afterLines="0" w:after="0" w:afterAutospacing="0" w:line="288" w:lineRule="auto"/>
      </w:pPr>
      <w:tblPr/>
      <w:tcPr>
        <w:shd w:val="clear" w:color="auto" w:fill="BFE4FF" w:themeFill="accent3" w:themeFillTint="33"/>
      </w:tcPr>
    </w:tblStylePr>
  </w:style>
  <w:style w:type="table" w:customStyle="1" w:styleId="MVV2">
    <w:name w:val="MVV 2"/>
    <w:basedOn w:val="MVV1"/>
    <w:uiPriority w:val="99"/>
    <w:rsid w:val="00776789"/>
    <w:tblPr/>
    <w:tblStylePr w:type="firstRow">
      <w:rPr>
        <w:b/>
        <w:color w:val="FFFFFF" w:themeColor="background1"/>
      </w:rPr>
      <w:tblPr/>
      <w:tcPr>
        <w:tcBorders>
          <w:top w:val="nil"/>
          <w:left w:val="nil"/>
          <w:bottom w:val="nil"/>
          <w:right w:val="nil"/>
          <w:insideH w:val="nil"/>
          <w:insideV w:val="nil"/>
          <w:tl2br w:val="nil"/>
          <w:tr2bl w:val="nil"/>
        </w:tcBorders>
        <w:shd w:val="clear" w:color="auto" w:fill="DDDDDD" w:themeFill="accent1"/>
      </w:tcPr>
    </w:tblStylePr>
    <w:tblStylePr w:type="lastRow">
      <w:rPr>
        <w:b/>
      </w:rPr>
    </w:tblStylePr>
    <w:tblStylePr w:type="firstCol">
      <w:pPr>
        <w:jc w:val="left"/>
      </w:pPr>
    </w:tblStylePr>
    <w:tblStylePr w:type="lastCol">
      <w:pPr>
        <w:wordWrap/>
        <w:spacing w:beforeLines="0" w:before="0" w:beforeAutospacing="0" w:afterLines="0" w:after="0" w:afterAutospacing="0" w:line="288" w:lineRule="auto"/>
      </w:pPr>
      <w:tblPr/>
      <w:tcPr>
        <w:shd w:val="clear" w:color="auto" w:fill="BFE4FF" w:themeFill="accent3" w:themeFillTint="33"/>
      </w:tcPr>
    </w:tblStylePr>
  </w:style>
  <w:style w:type="character" w:customStyle="1" w:styleId="Nevyeenzmnka1">
    <w:name w:val="Nevyřešená zmínka1"/>
    <w:basedOn w:val="Standardnpsmoodstavce"/>
    <w:uiPriority w:val="99"/>
    <w:semiHidden/>
    <w:unhideWhenUsed/>
    <w:rsid w:val="00576A6F"/>
    <w:rPr>
      <w:color w:val="808080"/>
      <w:shd w:val="clear" w:color="auto" w:fill="E6E6E6"/>
    </w:rPr>
  </w:style>
  <w:style w:type="character" w:customStyle="1" w:styleId="Nadpis1Char">
    <w:name w:val="Nadpis 1 Char"/>
    <w:basedOn w:val="Standardnpsmoodstavce"/>
    <w:link w:val="Nadpis1"/>
    <w:rsid w:val="000F3E7A"/>
    <w:rPr>
      <w:rFonts w:ascii="Arial" w:eastAsiaTheme="majorEastAsia" w:hAnsi="Arial" w:cs="Arial"/>
      <w:bCs/>
      <w:kern w:val="32"/>
      <w:sz w:val="28"/>
      <w:szCs w:val="32"/>
    </w:rPr>
  </w:style>
  <w:style w:type="character" w:customStyle="1" w:styleId="Nadpis2Char">
    <w:name w:val="Nadpis 2 Char"/>
    <w:basedOn w:val="Standardnpsmoodstavce"/>
    <w:link w:val="Nadpis2"/>
    <w:rsid w:val="00346AB2"/>
    <w:rPr>
      <w:rFonts w:ascii="Arial" w:eastAsiaTheme="majorEastAsia" w:hAnsi="Arial" w:cs="Arial"/>
      <w:b/>
      <w:bCs/>
      <w:iCs/>
      <w:sz w:val="24"/>
      <w:szCs w:val="28"/>
    </w:rPr>
  </w:style>
  <w:style w:type="character" w:customStyle="1" w:styleId="Nadpis3Char">
    <w:name w:val="Nadpis 3 Char"/>
    <w:basedOn w:val="Standardnpsmoodstavce"/>
    <w:link w:val="Nadpis3"/>
    <w:rsid w:val="00346AB2"/>
    <w:rPr>
      <w:rFonts w:ascii="Arial" w:eastAsiaTheme="majorEastAsia" w:hAnsi="Arial" w:cs="Arial"/>
      <w:bCs/>
      <w:sz w:val="24"/>
      <w:szCs w:val="26"/>
    </w:rPr>
  </w:style>
  <w:style w:type="character" w:customStyle="1" w:styleId="Nadpis4Char">
    <w:name w:val="Nadpis 4 Char"/>
    <w:basedOn w:val="Standardnpsmoodstavce"/>
    <w:link w:val="Nadpis4"/>
    <w:rsid w:val="00346AB2"/>
    <w:rPr>
      <w:rFonts w:ascii="Arial" w:eastAsiaTheme="majorEastAsia" w:hAnsi="Arial" w:cstheme="majorBidi"/>
      <w:bCs/>
      <w:i/>
      <w:sz w:val="24"/>
      <w:szCs w:val="28"/>
    </w:rPr>
  </w:style>
  <w:style w:type="character" w:customStyle="1" w:styleId="Nadpis5Char">
    <w:name w:val="Nadpis 5 Char"/>
    <w:basedOn w:val="Standardnpsmoodstavce"/>
    <w:link w:val="Nadpis5"/>
    <w:semiHidden/>
    <w:rsid w:val="00576A6F"/>
    <w:rPr>
      <w:rFonts w:asciiTheme="majorHAnsi" w:eastAsiaTheme="majorEastAsia" w:hAnsiTheme="majorHAnsi" w:cstheme="majorBidi"/>
      <w:color w:val="A5A5A5" w:themeColor="accent1" w:themeShade="BF"/>
      <w:sz w:val="22"/>
      <w:szCs w:val="24"/>
    </w:rPr>
  </w:style>
  <w:style w:type="character" w:customStyle="1" w:styleId="Nadpis6Char">
    <w:name w:val="Nadpis 6 Char"/>
    <w:basedOn w:val="Standardnpsmoodstavce"/>
    <w:link w:val="Nadpis6"/>
    <w:semiHidden/>
    <w:rsid w:val="00576A6F"/>
    <w:rPr>
      <w:rFonts w:asciiTheme="majorHAnsi" w:eastAsiaTheme="majorEastAsia" w:hAnsiTheme="majorHAnsi" w:cstheme="majorBidi"/>
      <w:color w:val="6E6E6E" w:themeColor="accent1" w:themeShade="7F"/>
      <w:sz w:val="22"/>
      <w:szCs w:val="24"/>
    </w:rPr>
  </w:style>
  <w:style w:type="character" w:customStyle="1" w:styleId="Nadpis7Char">
    <w:name w:val="Nadpis 7 Char"/>
    <w:basedOn w:val="Standardnpsmoodstavce"/>
    <w:link w:val="Nadpis7"/>
    <w:semiHidden/>
    <w:rsid w:val="00576A6F"/>
    <w:rPr>
      <w:rFonts w:asciiTheme="majorHAnsi" w:eastAsiaTheme="majorEastAsia" w:hAnsiTheme="majorHAnsi" w:cstheme="majorBidi"/>
      <w:i/>
      <w:iCs/>
      <w:color w:val="6E6E6E" w:themeColor="accent1" w:themeShade="7F"/>
      <w:sz w:val="22"/>
      <w:szCs w:val="24"/>
    </w:rPr>
  </w:style>
  <w:style w:type="character" w:customStyle="1" w:styleId="Nadpis8Char">
    <w:name w:val="Nadpis 8 Char"/>
    <w:basedOn w:val="Standardnpsmoodstavce"/>
    <w:link w:val="Nadpis8"/>
    <w:semiHidden/>
    <w:rsid w:val="00576A6F"/>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semiHidden/>
    <w:rsid w:val="00576A6F"/>
    <w:rPr>
      <w:rFonts w:asciiTheme="majorHAnsi" w:eastAsiaTheme="majorEastAsia" w:hAnsiTheme="majorHAnsi" w:cstheme="majorBidi"/>
      <w:i/>
      <w:iCs/>
      <w:color w:val="272727" w:themeColor="text1" w:themeTint="D8"/>
      <w:sz w:val="21"/>
      <w:szCs w:val="21"/>
    </w:rPr>
  </w:style>
  <w:style w:type="paragraph" w:styleId="Titulek">
    <w:name w:val="caption"/>
    <w:basedOn w:val="Normln"/>
    <w:next w:val="Normln"/>
    <w:semiHidden/>
    <w:unhideWhenUsed/>
    <w:qFormat/>
    <w:rsid w:val="00576A6F"/>
    <w:pPr>
      <w:spacing w:before="0" w:after="200" w:line="240" w:lineRule="auto"/>
    </w:pPr>
    <w:rPr>
      <w:i/>
      <w:iCs/>
      <w:color w:val="000000" w:themeColor="text2"/>
      <w:sz w:val="18"/>
      <w:szCs w:val="18"/>
    </w:rPr>
  </w:style>
  <w:style w:type="paragraph" w:styleId="Nzev">
    <w:name w:val="Title"/>
    <w:basedOn w:val="Normln"/>
    <w:next w:val="Normln"/>
    <w:link w:val="NzevChar"/>
    <w:qFormat/>
    <w:rsid w:val="00576A6F"/>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rsid w:val="00576A6F"/>
    <w:rPr>
      <w:rFonts w:asciiTheme="majorHAnsi" w:eastAsiaTheme="majorEastAsia" w:hAnsiTheme="majorHAnsi" w:cstheme="majorBidi"/>
      <w:spacing w:val="-10"/>
      <w:kern w:val="28"/>
      <w:sz w:val="56"/>
      <w:szCs w:val="56"/>
    </w:rPr>
  </w:style>
  <w:style w:type="paragraph" w:styleId="Podtitul">
    <w:name w:val="Subtitle"/>
    <w:basedOn w:val="Normln"/>
    <w:next w:val="Normln"/>
    <w:link w:val="PodtitulChar"/>
    <w:uiPriority w:val="11"/>
    <w:qFormat/>
    <w:rsid w:val="00576A6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itulChar">
    <w:name w:val="Podtitul Char"/>
    <w:basedOn w:val="Standardnpsmoodstavce"/>
    <w:link w:val="Podtitul"/>
    <w:uiPriority w:val="11"/>
    <w:rsid w:val="00576A6F"/>
    <w:rPr>
      <w:rFonts w:asciiTheme="minorHAnsi" w:eastAsiaTheme="minorEastAsia" w:hAnsiTheme="minorHAnsi" w:cstheme="minorBidi"/>
      <w:color w:val="5A5A5A" w:themeColor="text1" w:themeTint="A5"/>
      <w:spacing w:val="15"/>
      <w:sz w:val="22"/>
      <w:szCs w:val="22"/>
    </w:rPr>
  </w:style>
  <w:style w:type="character" w:styleId="Siln">
    <w:name w:val="Strong"/>
    <w:basedOn w:val="Standardnpsmoodstavce"/>
    <w:qFormat/>
    <w:rsid w:val="00576A6F"/>
    <w:rPr>
      <w:b/>
      <w:bCs/>
    </w:rPr>
  </w:style>
  <w:style w:type="character" w:styleId="Zvraznn">
    <w:name w:val="Emphasis"/>
    <w:basedOn w:val="Standardnpsmoodstavce"/>
    <w:qFormat/>
    <w:rsid w:val="00576A6F"/>
    <w:rPr>
      <w:i/>
      <w:iCs/>
    </w:rPr>
  </w:style>
  <w:style w:type="paragraph" w:styleId="Bezmezer">
    <w:name w:val="No Spacing"/>
    <w:uiPriority w:val="1"/>
    <w:qFormat/>
    <w:rsid w:val="00576A6F"/>
    <w:pPr>
      <w:jc w:val="both"/>
    </w:pPr>
    <w:rPr>
      <w:rFonts w:ascii="Arial" w:hAnsi="Arial"/>
      <w:sz w:val="22"/>
      <w:szCs w:val="24"/>
    </w:rPr>
  </w:style>
  <w:style w:type="paragraph" w:styleId="Citt">
    <w:name w:val="Quote"/>
    <w:basedOn w:val="Normln"/>
    <w:next w:val="Normln"/>
    <w:link w:val="CittChar"/>
    <w:uiPriority w:val="29"/>
    <w:qFormat/>
    <w:rsid w:val="00576A6F"/>
    <w:pPr>
      <w:spacing w:before="200" w:after="160"/>
      <w:ind w:left="864" w:right="864"/>
      <w:jc w:val="center"/>
    </w:pPr>
    <w:rPr>
      <w:rFonts w:eastAsiaTheme="majorEastAsia" w:cstheme="majorBidi"/>
      <w:i/>
      <w:iCs/>
      <w:color w:val="404040" w:themeColor="text1" w:themeTint="BF"/>
    </w:rPr>
  </w:style>
  <w:style w:type="character" w:customStyle="1" w:styleId="CittChar">
    <w:name w:val="Citát Char"/>
    <w:basedOn w:val="Standardnpsmoodstavce"/>
    <w:link w:val="Citt"/>
    <w:uiPriority w:val="29"/>
    <w:rsid w:val="00576A6F"/>
    <w:rPr>
      <w:rFonts w:ascii="Arial" w:eastAsiaTheme="majorEastAsia" w:hAnsi="Arial" w:cstheme="majorBidi"/>
      <w:i/>
      <w:iCs/>
      <w:color w:val="404040" w:themeColor="text1" w:themeTint="BF"/>
      <w:sz w:val="22"/>
      <w:szCs w:val="24"/>
    </w:rPr>
  </w:style>
  <w:style w:type="paragraph" w:styleId="Vrazncitt">
    <w:name w:val="Intense Quote"/>
    <w:basedOn w:val="Normln"/>
    <w:next w:val="Normln"/>
    <w:link w:val="VrazncittChar"/>
    <w:uiPriority w:val="30"/>
    <w:qFormat/>
    <w:rsid w:val="00576A6F"/>
    <w:pPr>
      <w:pBdr>
        <w:top w:val="single" w:sz="4" w:space="10" w:color="DDDDDD" w:themeColor="accent1"/>
        <w:bottom w:val="single" w:sz="4" w:space="10" w:color="DDDDDD" w:themeColor="accent1"/>
      </w:pBdr>
      <w:spacing w:before="360" w:after="360"/>
      <w:ind w:left="864" w:right="864"/>
      <w:jc w:val="center"/>
    </w:pPr>
    <w:rPr>
      <w:rFonts w:eastAsiaTheme="majorEastAsia" w:cstheme="majorBidi"/>
      <w:i/>
      <w:iCs/>
      <w:color w:val="DDDDDD" w:themeColor="accent1"/>
    </w:rPr>
  </w:style>
  <w:style w:type="character" w:customStyle="1" w:styleId="VrazncittChar">
    <w:name w:val="Výrazný citát Char"/>
    <w:basedOn w:val="Standardnpsmoodstavce"/>
    <w:link w:val="Vrazncitt"/>
    <w:uiPriority w:val="30"/>
    <w:rsid w:val="00576A6F"/>
    <w:rPr>
      <w:rFonts w:ascii="Arial" w:eastAsiaTheme="majorEastAsia" w:hAnsi="Arial" w:cstheme="majorBidi"/>
      <w:i/>
      <w:iCs/>
      <w:color w:val="DDDDDD" w:themeColor="accent1"/>
      <w:sz w:val="22"/>
      <w:szCs w:val="24"/>
    </w:rPr>
  </w:style>
  <w:style w:type="character" w:styleId="Zdraznnjemn">
    <w:name w:val="Subtle Emphasis"/>
    <w:basedOn w:val="Standardnpsmoodstavce"/>
    <w:uiPriority w:val="19"/>
    <w:qFormat/>
    <w:rsid w:val="00576A6F"/>
    <w:rPr>
      <w:i/>
      <w:iCs/>
      <w:color w:val="404040" w:themeColor="text1" w:themeTint="BF"/>
    </w:rPr>
  </w:style>
  <w:style w:type="character" w:styleId="Zdraznnintenzivn">
    <w:name w:val="Intense Emphasis"/>
    <w:basedOn w:val="Standardnpsmoodstavce"/>
    <w:uiPriority w:val="21"/>
    <w:qFormat/>
    <w:rsid w:val="00576A6F"/>
    <w:rPr>
      <w:i/>
      <w:iCs/>
      <w:color w:val="DDDDDD" w:themeColor="accent1"/>
    </w:rPr>
  </w:style>
  <w:style w:type="character" w:styleId="Odkazjemn">
    <w:name w:val="Subtle Reference"/>
    <w:basedOn w:val="Standardnpsmoodstavce"/>
    <w:uiPriority w:val="31"/>
    <w:qFormat/>
    <w:rsid w:val="00576A6F"/>
    <w:rPr>
      <w:smallCaps/>
      <w:color w:val="5A5A5A" w:themeColor="text1" w:themeTint="A5"/>
    </w:rPr>
  </w:style>
  <w:style w:type="character" w:styleId="Odkazintenzivn">
    <w:name w:val="Intense Reference"/>
    <w:basedOn w:val="Standardnpsmoodstavce"/>
    <w:uiPriority w:val="32"/>
    <w:qFormat/>
    <w:rsid w:val="00576A6F"/>
    <w:rPr>
      <w:b/>
      <w:bCs/>
      <w:smallCaps/>
      <w:color w:val="DDDDDD" w:themeColor="accent1"/>
      <w:spacing w:val="5"/>
    </w:rPr>
  </w:style>
  <w:style w:type="character" w:styleId="Nzevknihy">
    <w:name w:val="Book Title"/>
    <w:basedOn w:val="Standardnpsmoodstavce"/>
    <w:uiPriority w:val="33"/>
    <w:qFormat/>
    <w:rsid w:val="00576A6F"/>
    <w:rPr>
      <w:b/>
      <w:bCs/>
      <w:i/>
      <w:iCs/>
      <w:spacing w:val="5"/>
    </w:rPr>
  </w:style>
  <w:style w:type="paragraph" w:styleId="Nadpisobsahu">
    <w:name w:val="TOC Heading"/>
    <w:basedOn w:val="Nadpis1"/>
    <w:next w:val="Normln"/>
    <w:uiPriority w:val="39"/>
    <w:semiHidden/>
    <w:unhideWhenUsed/>
    <w:qFormat/>
    <w:rsid w:val="00576A6F"/>
    <w:pPr>
      <w:keepLines/>
      <w:spacing w:before="240" w:after="0"/>
      <w:jc w:val="both"/>
      <w:outlineLvl w:val="9"/>
    </w:pPr>
    <w:rPr>
      <w:rFonts w:asciiTheme="majorHAnsi" w:hAnsiTheme="majorHAnsi" w:cstheme="majorBidi"/>
      <w:bCs w:val="0"/>
      <w:color w:val="A5A5A5" w:themeColor="accent1" w:themeShade="BF"/>
      <w:kern w:val="0"/>
      <w:sz w:val="32"/>
    </w:rPr>
  </w:style>
  <w:style w:type="paragraph" w:customStyle="1" w:styleId="TZzhlav">
    <w:name w:val="TZ záhlaví"/>
    <w:basedOn w:val="Zhlav"/>
    <w:next w:val="ra"/>
    <w:rsid w:val="00662F1E"/>
    <w:pPr>
      <w:spacing w:before="780"/>
    </w:pPr>
  </w:style>
  <w:style w:type="paragraph" w:customStyle="1" w:styleId="TZTiskovzprva">
    <w:name w:val="TZ Tisková zpráva"/>
    <w:basedOn w:val="Normln"/>
    <w:qFormat/>
    <w:rsid w:val="00214F7C"/>
    <w:pPr>
      <w:spacing w:line="240" w:lineRule="auto"/>
      <w:jc w:val="right"/>
    </w:pPr>
    <w:rPr>
      <w:rFonts w:ascii="Arial Black" w:hAnsi="Arial Black" w:cs="Arial"/>
      <w:color w:val="FF0000"/>
      <w:sz w:val="28"/>
      <w:szCs w:val="28"/>
    </w:rPr>
  </w:style>
  <w:style w:type="paragraph" w:customStyle="1" w:styleId="TZdatum">
    <w:name w:val="TZ datum"/>
    <w:basedOn w:val="Normln"/>
    <w:next w:val="TZstrnka"/>
    <w:qFormat/>
    <w:rsid w:val="00214F7C"/>
    <w:pPr>
      <w:jc w:val="right"/>
    </w:pPr>
    <w:rPr>
      <w:rFonts w:cs="Arial"/>
      <w:sz w:val="18"/>
      <w:szCs w:val="18"/>
    </w:rPr>
  </w:style>
  <w:style w:type="paragraph" w:customStyle="1" w:styleId="TZstrnka">
    <w:name w:val="TZ stránka"/>
    <w:basedOn w:val="Normln"/>
    <w:next w:val="TZslostrnky"/>
    <w:qFormat/>
    <w:rsid w:val="00214F7C"/>
    <w:pPr>
      <w:jc w:val="right"/>
    </w:pPr>
    <w:rPr>
      <w:rFonts w:cs="Arial"/>
      <w:sz w:val="18"/>
      <w:szCs w:val="18"/>
    </w:rPr>
  </w:style>
  <w:style w:type="paragraph" w:customStyle="1" w:styleId="TZslostrnky">
    <w:name w:val="TZ číslo stránky"/>
    <w:basedOn w:val="TZstrnka"/>
    <w:qFormat/>
    <w:rsid w:val="00214F7C"/>
  </w:style>
  <w:style w:type="paragraph" w:customStyle="1" w:styleId="TZadresa">
    <w:name w:val="TZ adresa"/>
    <w:basedOn w:val="Normln"/>
    <w:qFormat/>
    <w:rsid w:val="00BE364F"/>
    <w:pPr>
      <w:spacing w:before="0"/>
      <w:jc w:val="right"/>
    </w:pPr>
    <w:rPr>
      <w:rFonts w:cs="Arial"/>
      <w:sz w:val="18"/>
      <w:szCs w:val="16"/>
    </w:rPr>
  </w:style>
  <w:style w:type="paragraph" w:customStyle="1" w:styleId="TZnadpis">
    <w:name w:val="TZ nadpis"/>
    <w:basedOn w:val="Normln"/>
    <w:next w:val="TZperex"/>
    <w:qFormat/>
    <w:rsid w:val="00F01EC7"/>
    <w:pPr>
      <w:spacing w:before="0"/>
    </w:pPr>
    <w:rPr>
      <w:rFonts w:cs="Arial"/>
      <w:sz w:val="28"/>
    </w:rPr>
  </w:style>
  <w:style w:type="paragraph" w:customStyle="1" w:styleId="TZbackgroundskupiny">
    <w:name w:val="TZ background skupiny"/>
    <w:basedOn w:val="Normln"/>
    <w:qFormat/>
    <w:rsid w:val="00BE364F"/>
    <w:rPr>
      <w:rFonts w:cs="Arial"/>
      <w:i/>
      <w:sz w:val="20"/>
    </w:rPr>
  </w:style>
  <w:style w:type="paragraph" w:customStyle="1" w:styleId="TZbackbroundspolenosti">
    <w:name w:val="TZ backbround společnosti"/>
    <w:basedOn w:val="Normln"/>
    <w:next w:val="TZbackgroundskupiny"/>
    <w:qFormat/>
    <w:rsid w:val="00BE364F"/>
    <w:pPr>
      <w:spacing w:before="480" w:after="240"/>
    </w:pPr>
    <w:rPr>
      <w:rFonts w:cs="Arial"/>
      <w:i/>
      <w:sz w:val="20"/>
    </w:rPr>
  </w:style>
  <w:style w:type="paragraph" w:customStyle="1" w:styleId="TZtextzprvy">
    <w:name w:val="TZ text zprávy"/>
    <w:basedOn w:val="Normln"/>
    <w:qFormat/>
    <w:rsid w:val="00BE364F"/>
    <w:pPr>
      <w:spacing w:before="100" w:beforeAutospacing="1" w:after="100" w:afterAutospacing="1"/>
    </w:pPr>
    <w:rPr>
      <w:rFonts w:cs="Arial"/>
      <w:szCs w:val="22"/>
    </w:rPr>
  </w:style>
  <w:style w:type="paragraph" w:customStyle="1" w:styleId="TZperex">
    <w:name w:val="TZ perex"/>
    <w:basedOn w:val="Normln"/>
    <w:next w:val="TZtextzprvy"/>
    <w:qFormat/>
    <w:rsid w:val="00BE364F"/>
    <w:pPr>
      <w:spacing w:before="100" w:beforeAutospacing="1" w:after="100" w:afterAutospacing="1"/>
    </w:pPr>
    <w:rPr>
      <w:rFonts w:cs="Arial"/>
      <w:b/>
      <w:szCs w:val="22"/>
    </w:rPr>
  </w:style>
  <w:style w:type="paragraph" w:customStyle="1" w:styleId="ra">
    <w:name w:val="čára"/>
    <w:basedOn w:val="Zhlav"/>
    <w:next w:val="Zpat"/>
    <w:rsid w:val="00713836"/>
    <w:pPr>
      <w:pBdr>
        <w:bottom w:val="single" w:sz="4" w:space="1" w:color="auto"/>
      </w:pBdr>
      <w:spacing w:before="0" w:after="60"/>
    </w:pPr>
    <w:rPr>
      <w:sz w:val="4"/>
    </w:rPr>
  </w:style>
  <w:style w:type="paragraph" w:customStyle="1" w:styleId="Odrka3">
    <w:name w:val="Odrážka 3"/>
    <w:basedOn w:val="Odrka2"/>
    <w:qFormat/>
    <w:rsid w:val="000F3E7A"/>
    <w:pPr>
      <w:numPr>
        <w:ilvl w:val="1"/>
      </w:numPr>
    </w:pPr>
  </w:style>
  <w:style w:type="paragraph" w:styleId="Osloven">
    <w:name w:val="Salutation"/>
    <w:basedOn w:val="Normln"/>
    <w:next w:val="Normln"/>
    <w:link w:val="OslovenChar"/>
    <w:rsid w:val="00346AB2"/>
  </w:style>
  <w:style w:type="character" w:customStyle="1" w:styleId="OslovenChar">
    <w:name w:val="Oslovení Char"/>
    <w:basedOn w:val="Standardnpsmoodstavce"/>
    <w:link w:val="Osloven"/>
    <w:rsid w:val="00346AB2"/>
    <w:rPr>
      <w:rFonts w:ascii="Arial" w:hAnsi="Arial"/>
      <w:sz w:val="22"/>
      <w:szCs w:val="24"/>
    </w:rPr>
  </w:style>
  <w:style w:type="paragraph" w:styleId="Zkladntext">
    <w:name w:val="Body Text"/>
    <w:basedOn w:val="Normln"/>
    <w:link w:val="ZkladntextChar"/>
    <w:semiHidden/>
    <w:unhideWhenUsed/>
    <w:rsid w:val="00346AB2"/>
    <w:pPr>
      <w:spacing w:after="120"/>
    </w:pPr>
  </w:style>
  <w:style w:type="character" w:customStyle="1" w:styleId="ZkladntextChar">
    <w:name w:val="Základní text Char"/>
    <w:basedOn w:val="Standardnpsmoodstavce"/>
    <w:link w:val="Zkladntext"/>
    <w:semiHidden/>
    <w:rsid w:val="00346AB2"/>
    <w:rPr>
      <w:rFonts w:ascii="Arial" w:hAnsi="Arial"/>
      <w:sz w:val="22"/>
      <w:szCs w:val="24"/>
    </w:rPr>
  </w:style>
  <w:style w:type="paragraph" w:styleId="Zkladntext-prvnodsazen">
    <w:name w:val="Body Text First Indent"/>
    <w:basedOn w:val="Zkladntext"/>
    <w:link w:val="Zkladntext-prvnodsazenChar"/>
    <w:rsid w:val="00346AB2"/>
    <w:pPr>
      <w:spacing w:after="0"/>
      <w:ind w:firstLine="360"/>
    </w:pPr>
  </w:style>
  <w:style w:type="character" w:customStyle="1" w:styleId="Zkladntext-prvnodsazenChar">
    <w:name w:val="Základní text - první odsazený Char"/>
    <w:basedOn w:val="ZkladntextChar"/>
    <w:link w:val="Zkladntext-prvnodsazen"/>
    <w:rsid w:val="00346AB2"/>
    <w:rPr>
      <w:rFonts w:ascii="Arial" w:hAnsi="Arial"/>
      <w:sz w:val="22"/>
      <w:szCs w:val="24"/>
    </w:rPr>
  </w:style>
  <w:style w:type="paragraph" w:styleId="Odstavecseseznamem">
    <w:name w:val="List Paragraph"/>
    <w:basedOn w:val="Normln"/>
    <w:uiPriority w:val="34"/>
    <w:qFormat/>
    <w:rsid w:val="00346AB2"/>
    <w:pPr>
      <w:ind w:left="720"/>
      <w:contextualSpacing/>
    </w:pPr>
  </w:style>
  <w:style w:type="paragraph" w:styleId="slovanseznam">
    <w:name w:val="List Number"/>
    <w:basedOn w:val="Normln"/>
    <w:rsid w:val="00346754"/>
    <w:pPr>
      <w:numPr>
        <w:numId w:val="3"/>
      </w:numPr>
      <w:contextualSpacing/>
      <w:jc w:val="left"/>
    </w:pPr>
  </w:style>
  <w:style w:type="paragraph" w:customStyle="1" w:styleId="dopisoknkoadresa">
    <w:name w:val="dopis okénko adresa"/>
    <w:basedOn w:val="Normln"/>
    <w:rsid w:val="00196C6D"/>
    <w:pPr>
      <w:spacing w:before="0" w:line="240" w:lineRule="auto"/>
    </w:pPr>
    <w:rPr>
      <w:sz w:val="21"/>
    </w:rPr>
  </w:style>
  <w:style w:type="paragraph" w:customStyle="1" w:styleId="dopisznaka">
    <w:name w:val="dopis značka"/>
    <w:basedOn w:val="Normln"/>
    <w:rsid w:val="00196C6D"/>
    <w:pPr>
      <w:jc w:val="left"/>
    </w:pPr>
    <w:rPr>
      <w:sz w:val="17"/>
      <w:szCs w:val="18"/>
    </w:rPr>
  </w:style>
  <w:style w:type="paragraph" w:customStyle="1" w:styleId="dopisosloven">
    <w:name w:val="dopis oslovení"/>
    <w:basedOn w:val="Normln"/>
    <w:rsid w:val="00D35CD8"/>
    <w:pPr>
      <w:spacing w:before="480" w:after="360"/>
    </w:pPr>
  </w:style>
  <w:style w:type="paragraph" w:customStyle="1" w:styleId="dopisVc">
    <w:name w:val="dopis Věc:"/>
    <w:basedOn w:val="Normln"/>
    <w:rsid w:val="00196C6D"/>
    <w:pPr>
      <w:spacing w:before="360" w:after="480"/>
    </w:pPr>
    <w:rPr>
      <w:b/>
    </w:rPr>
  </w:style>
  <w:style w:type="paragraph" w:customStyle="1" w:styleId="dopispodpis">
    <w:name w:val="dopis podpis"/>
    <w:basedOn w:val="Normln"/>
    <w:rsid w:val="005E2F3E"/>
    <w:pPr>
      <w:tabs>
        <w:tab w:val="left" w:pos="4962"/>
      </w:tabs>
      <w:spacing w:before="0"/>
    </w:pPr>
  </w:style>
  <w:style w:type="paragraph" w:customStyle="1" w:styleId="dopisspozdravem">
    <w:name w:val="dopis s pozdravem"/>
    <w:basedOn w:val="Normln"/>
    <w:next w:val="dopispodpis"/>
    <w:rsid w:val="005E2F3E"/>
    <w:pPr>
      <w:spacing w:before="600" w:after="1200"/>
    </w:pPr>
  </w:style>
  <w:style w:type="paragraph" w:customStyle="1" w:styleId="dopisploha">
    <w:name w:val="dopis příloha"/>
    <w:basedOn w:val="Normln"/>
    <w:rsid w:val="00196C6D"/>
    <w:pPr>
      <w:spacing w:before="600"/>
    </w:pPr>
    <w:rPr>
      <w:i/>
    </w:rPr>
  </w:style>
  <w:style w:type="table" w:customStyle="1" w:styleId="MVV5">
    <w:name w:val="MVV 5"/>
    <w:basedOn w:val="MVV1"/>
    <w:uiPriority w:val="99"/>
    <w:rsid w:val="00522E22"/>
    <w:tblPr>
      <w:tblStyleRowBandSize w:val="1"/>
    </w:tblPr>
    <w:tblStylePr w:type="firstRow">
      <w:rPr>
        <w:b/>
      </w:rPr>
    </w:tblStylePr>
    <w:tblStylePr w:type="lastRow">
      <w:rPr>
        <w:b/>
      </w:rPr>
    </w:tblStylePr>
    <w:tblStylePr w:type="firstCol">
      <w:pPr>
        <w:jc w:val="left"/>
      </w:pPr>
    </w:tblStylePr>
    <w:tblStylePr w:type="lastCol">
      <w:pPr>
        <w:wordWrap/>
        <w:spacing w:beforeLines="0" w:before="0" w:beforeAutospacing="0" w:afterLines="0" w:after="0" w:afterAutospacing="0" w:line="288" w:lineRule="auto"/>
      </w:pPr>
      <w:rPr>
        <w:b/>
      </w:rPr>
      <w:tblPr/>
      <w:tcPr>
        <w:shd w:val="clear" w:color="auto" w:fill="BFE4FF" w:themeFill="accent3"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tcPr>
    </w:tblStylePr>
  </w:style>
  <w:style w:type="paragraph" w:customStyle="1" w:styleId="tabulkatextvlevo">
    <w:name w:val="tabulka text vlevo"/>
    <w:basedOn w:val="Normln"/>
    <w:qFormat/>
    <w:rsid w:val="00522E22"/>
    <w:pPr>
      <w:spacing w:before="0"/>
      <w:jc w:val="left"/>
    </w:pPr>
    <w:rPr>
      <w:rFonts w:eastAsiaTheme="minorHAnsi" w:cstheme="minorBidi"/>
      <w:sz w:val="20"/>
      <w:szCs w:val="22"/>
      <w:lang w:eastAsia="en-US"/>
    </w:rPr>
  </w:style>
  <w:style w:type="table" w:styleId="Mkatabulky">
    <w:name w:val="Table Grid"/>
    <w:aliases w:val="MVV tabulka"/>
    <w:basedOn w:val="Normlntabulka"/>
    <w:uiPriority w:val="59"/>
    <w:rsid w:val="008D459B"/>
    <w:pPr>
      <w:jc w:val="right"/>
    </w:pPr>
    <w:rPr>
      <w:rFonts w:ascii="Arial" w:eastAsiaTheme="minorHAnsi" w:hAnsi="Arial" w:cstheme="minorBidi"/>
      <w:szCs w:val="22"/>
      <w:lang w:eastAsia="en-US"/>
    </w:rPr>
    <w:tblPr>
      <w:jc w:val="right"/>
      <w:tblBorders>
        <w:top w:val="single" w:sz="4" w:space="0" w:color="FF0000"/>
        <w:bottom w:val="single" w:sz="4" w:space="0" w:color="7F7F7F" w:themeColor="text1" w:themeTint="80"/>
        <w:insideH w:val="single" w:sz="4" w:space="0" w:color="7F7F7F" w:themeColor="text1" w:themeTint="80"/>
      </w:tblBorders>
    </w:tblPr>
    <w:trPr>
      <w:jc w:val="right"/>
    </w:trPr>
    <w:tcPr>
      <w:vAlign w:val="center"/>
    </w:tcPr>
    <w:tblStylePr w:type="firstRow">
      <w:pPr>
        <w:wordWrap/>
        <w:spacing w:beforeLines="0" w:before="0" w:beforeAutospacing="0" w:afterLines="0" w:after="0" w:afterAutospacing="0" w:line="240" w:lineRule="auto"/>
        <w:jc w:val="right"/>
      </w:pPr>
      <w:tblPr/>
      <w:tcPr>
        <w:tcBorders>
          <w:top w:val="single" w:sz="4" w:space="0" w:color="FF0000"/>
          <w:bottom w:val="nil"/>
          <w:insideH w:val="single" w:sz="4" w:space="0" w:color="FF0000"/>
        </w:tcBorders>
      </w:tcPr>
    </w:tblStylePr>
    <w:tblStylePr w:type="lastRow">
      <w:pPr>
        <w:jc w:val="right"/>
      </w:pPr>
    </w:tblStylePr>
    <w:tblStylePr w:type="firstCol">
      <w:pPr>
        <w:jc w:val="left"/>
      </w:pPr>
    </w:tblStylePr>
    <w:tblStylePr w:type="lastCol">
      <w:pPr>
        <w:jc w:val="right"/>
      </w:pPr>
      <w:rPr>
        <w:rFonts w:ascii="Arial" w:hAnsi="Arial"/>
        <w:sz w:val="20"/>
      </w:rPr>
      <w:tblPr>
        <w:jc w:val="left"/>
      </w:tblPr>
      <w:trPr>
        <w:jc w:val="left"/>
      </w:trPr>
      <w:tcPr>
        <w:shd w:val="clear" w:color="auto" w:fill="D9D9D9" w:themeFill="background1" w:themeFillShade="D9"/>
      </w:tcPr>
    </w:tblStylePr>
  </w:style>
  <w:style w:type="character" w:customStyle="1" w:styleId="UnresolvedMention">
    <w:name w:val="Unresolved Mention"/>
    <w:basedOn w:val="Standardnpsmoodstavce"/>
    <w:uiPriority w:val="99"/>
    <w:semiHidden/>
    <w:unhideWhenUsed/>
    <w:rsid w:val="009B3695"/>
    <w:rPr>
      <w:color w:val="605E5C"/>
      <w:shd w:val="clear" w:color="auto" w:fill="E1DFDD"/>
    </w:rPr>
  </w:style>
  <w:style w:type="paragraph" w:styleId="Normlnweb">
    <w:name w:val="Normal (Web)"/>
    <w:basedOn w:val="Normln"/>
    <w:uiPriority w:val="99"/>
    <w:semiHidden/>
    <w:unhideWhenUsed/>
    <w:rsid w:val="00E86FD5"/>
    <w:pPr>
      <w:spacing w:before="100" w:beforeAutospacing="1" w:after="100" w:afterAutospacing="1" w:line="240" w:lineRule="auto"/>
      <w:jc w:val="left"/>
    </w:pPr>
    <w:rPr>
      <w:rFonts w:ascii="Times New Roman" w:hAnsi="Times New Roman"/>
      <w:sz w:val="24"/>
    </w:rPr>
  </w:style>
  <w:style w:type="character" w:styleId="Odkaznakoment">
    <w:name w:val="annotation reference"/>
    <w:basedOn w:val="Standardnpsmoodstavce"/>
    <w:uiPriority w:val="99"/>
    <w:semiHidden/>
    <w:unhideWhenUsed/>
    <w:qFormat/>
    <w:rsid w:val="00D70EC1"/>
    <w:rPr>
      <w:sz w:val="16"/>
      <w:szCs w:val="16"/>
    </w:rPr>
  </w:style>
  <w:style w:type="paragraph" w:styleId="Textkomente">
    <w:name w:val="annotation text"/>
    <w:basedOn w:val="Normln"/>
    <w:link w:val="TextkomenteChar"/>
    <w:uiPriority w:val="99"/>
    <w:unhideWhenUsed/>
    <w:qFormat/>
    <w:rsid w:val="00D70EC1"/>
    <w:pPr>
      <w:spacing w:before="0" w:after="200" w:line="240" w:lineRule="auto"/>
      <w:jc w:val="left"/>
    </w:pPr>
    <w:rPr>
      <w:rFonts w:asciiTheme="minorHAnsi" w:eastAsiaTheme="minorHAnsi" w:hAnsiTheme="minorHAnsi" w:cstheme="minorBidi"/>
      <w:noProof w:val="0"/>
      <w:sz w:val="20"/>
      <w:szCs w:val="20"/>
      <w:lang w:eastAsia="en-US"/>
    </w:rPr>
  </w:style>
  <w:style w:type="character" w:customStyle="1" w:styleId="TextkomenteChar">
    <w:name w:val="Text komentáře Char"/>
    <w:basedOn w:val="Standardnpsmoodstavce"/>
    <w:link w:val="Textkomente"/>
    <w:uiPriority w:val="99"/>
    <w:qFormat/>
    <w:rsid w:val="00D70EC1"/>
    <w:rPr>
      <w:rFonts w:asciiTheme="minorHAnsi" w:eastAsiaTheme="minorHAnsi" w:hAnsiTheme="minorHAnsi" w:cstheme="minorBidi"/>
      <w:lang w:eastAsia="en-US"/>
    </w:rPr>
  </w:style>
  <w:style w:type="paragraph" w:styleId="Pedmtkomente">
    <w:name w:val="annotation subject"/>
    <w:basedOn w:val="Textkomente"/>
    <w:next w:val="Textkomente"/>
    <w:link w:val="PedmtkomenteChar"/>
    <w:semiHidden/>
    <w:unhideWhenUsed/>
    <w:rsid w:val="006465B3"/>
    <w:pPr>
      <w:spacing w:before="120" w:after="0"/>
      <w:jc w:val="both"/>
    </w:pPr>
    <w:rPr>
      <w:rFonts w:ascii="Arial" w:eastAsia="Times New Roman" w:hAnsi="Arial" w:cs="Times New Roman"/>
      <w:b/>
      <w:bCs/>
      <w:noProof/>
      <w:lang w:eastAsia="cs-CZ"/>
    </w:rPr>
  </w:style>
  <w:style w:type="character" w:customStyle="1" w:styleId="PedmtkomenteChar">
    <w:name w:val="Předmět komentáře Char"/>
    <w:basedOn w:val="TextkomenteChar"/>
    <w:link w:val="Pedmtkomente"/>
    <w:semiHidden/>
    <w:rsid w:val="006465B3"/>
    <w:rPr>
      <w:rFonts w:ascii="Arial" w:eastAsiaTheme="minorHAnsi" w:hAnsi="Arial" w:cstheme="minorBidi"/>
      <w:b/>
      <w:bCs/>
      <w:noProof/>
      <w:lang w:eastAsia="en-US"/>
    </w:rPr>
  </w:style>
  <w:style w:type="paragraph" w:styleId="Revize">
    <w:name w:val="Revision"/>
    <w:hidden/>
    <w:uiPriority w:val="99"/>
    <w:semiHidden/>
    <w:rsid w:val="00866924"/>
    <w:rPr>
      <w:rFonts w:ascii="Arial" w:hAnsi="Arial"/>
      <w:noProof/>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76278">
      <w:bodyDiv w:val="1"/>
      <w:marLeft w:val="0"/>
      <w:marRight w:val="0"/>
      <w:marTop w:val="0"/>
      <w:marBottom w:val="0"/>
      <w:divBdr>
        <w:top w:val="none" w:sz="0" w:space="0" w:color="auto"/>
        <w:left w:val="none" w:sz="0" w:space="0" w:color="auto"/>
        <w:bottom w:val="none" w:sz="0" w:space="0" w:color="auto"/>
        <w:right w:val="none" w:sz="0" w:space="0" w:color="auto"/>
      </w:divBdr>
    </w:div>
    <w:div w:id="608048094">
      <w:bodyDiv w:val="1"/>
      <w:marLeft w:val="0"/>
      <w:marRight w:val="0"/>
      <w:marTop w:val="0"/>
      <w:marBottom w:val="0"/>
      <w:divBdr>
        <w:top w:val="none" w:sz="0" w:space="0" w:color="auto"/>
        <w:left w:val="none" w:sz="0" w:space="0" w:color="auto"/>
        <w:bottom w:val="none" w:sz="0" w:space="0" w:color="auto"/>
        <w:right w:val="none" w:sz="0" w:space="0" w:color="auto"/>
      </w:divBdr>
    </w:div>
    <w:div w:id="705257401">
      <w:bodyDiv w:val="1"/>
      <w:marLeft w:val="0"/>
      <w:marRight w:val="0"/>
      <w:marTop w:val="0"/>
      <w:marBottom w:val="0"/>
      <w:divBdr>
        <w:top w:val="none" w:sz="0" w:space="0" w:color="auto"/>
        <w:left w:val="none" w:sz="0" w:space="0" w:color="auto"/>
        <w:bottom w:val="none" w:sz="0" w:space="0" w:color="auto"/>
        <w:right w:val="none" w:sz="0" w:space="0" w:color="auto"/>
      </w:divBdr>
    </w:div>
    <w:div w:id="1042825075">
      <w:bodyDiv w:val="1"/>
      <w:marLeft w:val="0"/>
      <w:marRight w:val="0"/>
      <w:marTop w:val="0"/>
      <w:marBottom w:val="0"/>
      <w:divBdr>
        <w:top w:val="none" w:sz="0" w:space="0" w:color="auto"/>
        <w:left w:val="none" w:sz="0" w:space="0" w:color="auto"/>
        <w:bottom w:val="none" w:sz="0" w:space="0" w:color="auto"/>
        <w:right w:val="none" w:sz="0" w:space="0" w:color="auto"/>
      </w:divBdr>
    </w:div>
    <w:div w:id="1347561182">
      <w:bodyDiv w:val="1"/>
      <w:marLeft w:val="0"/>
      <w:marRight w:val="0"/>
      <w:marTop w:val="0"/>
      <w:marBottom w:val="0"/>
      <w:divBdr>
        <w:top w:val="none" w:sz="0" w:space="0" w:color="auto"/>
        <w:left w:val="none" w:sz="0" w:space="0" w:color="auto"/>
        <w:bottom w:val="none" w:sz="0" w:space="0" w:color="auto"/>
        <w:right w:val="none" w:sz="0" w:space="0" w:color="auto"/>
      </w:divBdr>
    </w:div>
    <w:div w:id="1548057233">
      <w:bodyDiv w:val="1"/>
      <w:marLeft w:val="0"/>
      <w:marRight w:val="0"/>
      <w:marTop w:val="0"/>
      <w:marBottom w:val="0"/>
      <w:divBdr>
        <w:top w:val="none" w:sz="0" w:space="0" w:color="auto"/>
        <w:left w:val="none" w:sz="0" w:space="0" w:color="auto"/>
        <w:bottom w:val="none" w:sz="0" w:space="0" w:color="auto"/>
        <w:right w:val="none" w:sz="0" w:space="0" w:color="auto"/>
      </w:divBdr>
    </w:div>
    <w:div w:id="1609508816">
      <w:bodyDiv w:val="1"/>
      <w:marLeft w:val="0"/>
      <w:marRight w:val="0"/>
      <w:marTop w:val="0"/>
      <w:marBottom w:val="0"/>
      <w:divBdr>
        <w:top w:val="none" w:sz="0" w:space="0" w:color="auto"/>
        <w:left w:val="none" w:sz="0" w:space="0" w:color="auto"/>
        <w:bottom w:val="none" w:sz="0" w:space="0" w:color="auto"/>
        <w:right w:val="none" w:sz="0" w:space="0" w:color="auto"/>
      </w:divBdr>
    </w:div>
    <w:div w:id="1729693249">
      <w:bodyDiv w:val="1"/>
      <w:marLeft w:val="0"/>
      <w:marRight w:val="0"/>
      <w:marTop w:val="0"/>
      <w:marBottom w:val="0"/>
      <w:divBdr>
        <w:top w:val="none" w:sz="0" w:space="0" w:color="auto"/>
        <w:left w:val="none" w:sz="0" w:space="0" w:color="auto"/>
        <w:bottom w:val="none" w:sz="0" w:space="0" w:color="auto"/>
        <w:right w:val="none" w:sz="0" w:space="0" w:color="auto"/>
      </w:divBdr>
    </w:div>
    <w:div w:id="1844127919">
      <w:bodyDiv w:val="1"/>
      <w:marLeft w:val="0"/>
      <w:marRight w:val="0"/>
      <w:marTop w:val="0"/>
      <w:marBottom w:val="0"/>
      <w:divBdr>
        <w:top w:val="none" w:sz="0" w:space="0" w:color="auto"/>
        <w:left w:val="none" w:sz="0" w:space="0" w:color="auto"/>
        <w:bottom w:val="none" w:sz="0" w:space="0" w:color="auto"/>
        <w:right w:val="none" w:sz="0" w:space="0" w:color="auto"/>
      </w:divBdr>
      <w:divsChild>
        <w:div w:id="955674114">
          <w:marLeft w:val="0"/>
          <w:marRight w:val="0"/>
          <w:marTop w:val="0"/>
          <w:marBottom w:val="0"/>
          <w:divBdr>
            <w:top w:val="none" w:sz="0" w:space="0" w:color="auto"/>
            <w:left w:val="none" w:sz="0" w:space="0" w:color="auto"/>
            <w:bottom w:val="none" w:sz="0" w:space="0" w:color="auto"/>
            <w:right w:val="none" w:sz="0" w:space="0" w:color="auto"/>
          </w:divBdr>
          <w:divsChild>
            <w:div w:id="1174220336">
              <w:marLeft w:val="0"/>
              <w:marRight w:val="0"/>
              <w:marTop w:val="0"/>
              <w:marBottom w:val="0"/>
              <w:divBdr>
                <w:top w:val="none" w:sz="0" w:space="0" w:color="auto"/>
                <w:left w:val="none" w:sz="0" w:space="0" w:color="auto"/>
                <w:bottom w:val="none" w:sz="0" w:space="0" w:color="auto"/>
                <w:right w:val="none" w:sz="0" w:space="0" w:color="auto"/>
              </w:divBdr>
              <w:divsChild>
                <w:div w:id="16318883">
                  <w:marLeft w:val="0"/>
                  <w:marRight w:val="0"/>
                  <w:marTop w:val="0"/>
                  <w:marBottom w:val="0"/>
                  <w:divBdr>
                    <w:top w:val="none" w:sz="0" w:space="0" w:color="auto"/>
                    <w:left w:val="none" w:sz="0" w:space="0" w:color="auto"/>
                    <w:bottom w:val="none" w:sz="0" w:space="0" w:color="auto"/>
                    <w:right w:val="none" w:sz="0" w:space="0" w:color="auto"/>
                  </w:divBdr>
                </w:div>
              </w:divsChild>
            </w:div>
            <w:div w:id="1561794209">
              <w:marLeft w:val="0"/>
              <w:marRight w:val="0"/>
              <w:marTop w:val="750"/>
              <w:marBottom w:val="0"/>
              <w:divBdr>
                <w:top w:val="none" w:sz="0" w:space="0" w:color="auto"/>
                <w:left w:val="none" w:sz="0" w:space="0" w:color="auto"/>
                <w:bottom w:val="none" w:sz="0" w:space="0" w:color="auto"/>
                <w:right w:val="none" w:sz="0" w:space="0" w:color="auto"/>
              </w:divBdr>
              <w:divsChild>
                <w:div w:id="333265604">
                  <w:marLeft w:val="0"/>
                  <w:marRight w:val="0"/>
                  <w:marTop w:val="0"/>
                  <w:marBottom w:val="0"/>
                  <w:divBdr>
                    <w:top w:val="none" w:sz="0" w:space="0" w:color="auto"/>
                    <w:left w:val="none" w:sz="0" w:space="0" w:color="auto"/>
                    <w:bottom w:val="none" w:sz="0" w:space="0" w:color="auto"/>
                    <w:right w:val="none" w:sz="0" w:space="0" w:color="auto"/>
                  </w:divBdr>
                  <w:divsChild>
                    <w:div w:id="572620008">
                      <w:marLeft w:val="0"/>
                      <w:marRight w:val="0"/>
                      <w:marTop w:val="0"/>
                      <w:marBottom w:val="330"/>
                      <w:divBdr>
                        <w:top w:val="none" w:sz="0" w:space="0" w:color="auto"/>
                        <w:left w:val="none" w:sz="0" w:space="0" w:color="auto"/>
                        <w:bottom w:val="none" w:sz="0" w:space="0" w:color="auto"/>
                        <w:right w:val="none" w:sz="0" w:space="0" w:color="auto"/>
                      </w:divBdr>
                    </w:div>
                  </w:divsChild>
                </w:div>
                <w:div w:id="1782452221">
                  <w:marLeft w:val="1500"/>
                  <w:marRight w:val="0"/>
                  <w:marTop w:val="0"/>
                  <w:marBottom w:val="0"/>
                  <w:divBdr>
                    <w:top w:val="none" w:sz="0" w:space="0" w:color="auto"/>
                    <w:left w:val="none" w:sz="0" w:space="0" w:color="auto"/>
                    <w:bottom w:val="none" w:sz="0" w:space="0" w:color="auto"/>
                    <w:right w:val="none" w:sz="0" w:space="0" w:color="auto"/>
                  </w:divBdr>
                  <w:divsChild>
                    <w:div w:id="108607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24239">
              <w:marLeft w:val="0"/>
              <w:marRight w:val="0"/>
              <w:marTop w:val="0"/>
              <w:marBottom w:val="0"/>
              <w:divBdr>
                <w:top w:val="single" w:sz="6" w:space="12" w:color="CCCCCC"/>
                <w:left w:val="single" w:sz="6" w:space="12" w:color="CCCCCC"/>
                <w:bottom w:val="single" w:sz="6" w:space="12" w:color="CCCCCC"/>
                <w:right w:val="single" w:sz="6" w:space="12" w:color="CCCCCC"/>
              </w:divBdr>
              <w:divsChild>
                <w:div w:id="529147333">
                  <w:marLeft w:val="0"/>
                  <w:marRight w:val="0"/>
                  <w:marTop w:val="0"/>
                  <w:marBottom w:val="0"/>
                  <w:divBdr>
                    <w:top w:val="none" w:sz="0" w:space="0" w:color="auto"/>
                    <w:left w:val="none" w:sz="0" w:space="0" w:color="auto"/>
                    <w:bottom w:val="none" w:sz="0" w:space="0" w:color="auto"/>
                    <w:right w:val="none" w:sz="0" w:space="0" w:color="auto"/>
                  </w:divBdr>
                  <w:divsChild>
                    <w:div w:id="17696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2918">
              <w:marLeft w:val="0"/>
              <w:marRight w:val="300"/>
              <w:marTop w:val="300"/>
              <w:marBottom w:val="300"/>
              <w:divBdr>
                <w:top w:val="none" w:sz="0" w:space="0" w:color="auto"/>
                <w:left w:val="none" w:sz="0" w:space="0" w:color="auto"/>
                <w:bottom w:val="none" w:sz="0" w:space="0" w:color="auto"/>
                <w:right w:val="none" w:sz="0" w:space="0" w:color="auto"/>
              </w:divBdr>
            </w:div>
            <w:div w:id="1183282328">
              <w:marLeft w:val="0"/>
              <w:marRight w:val="0"/>
              <w:marTop w:val="0"/>
              <w:marBottom w:val="0"/>
              <w:divBdr>
                <w:top w:val="none" w:sz="0" w:space="0" w:color="auto"/>
                <w:left w:val="none" w:sz="0" w:space="0" w:color="auto"/>
                <w:bottom w:val="none" w:sz="0" w:space="0" w:color="auto"/>
                <w:right w:val="none" w:sz="0" w:space="0" w:color="auto"/>
              </w:divBdr>
              <w:divsChild>
                <w:div w:id="108669478">
                  <w:blockQuote w:val="1"/>
                  <w:marLeft w:val="0"/>
                  <w:marRight w:val="0"/>
                  <w:marTop w:val="0"/>
                  <w:marBottom w:val="0"/>
                  <w:divBdr>
                    <w:top w:val="none" w:sz="0" w:space="0" w:color="auto"/>
                    <w:left w:val="none" w:sz="0" w:space="0" w:color="auto"/>
                    <w:bottom w:val="none" w:sz="0" w:space="0" w:color="auto"/>
                    <w:right w:val="none" w:sz="0" w:space="0" w:color="auto"/>
                  </w:divBdr>
                </w:div>
                <w:div w:id="1413915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26262876">
              <w:marLeft w:val="0"/>
              <w:marRight w:val="0"/>
              <w:marTop w:val="0"/>
              <w:marBottom w:val="0"/>
              <w:divBdr>
                <w:top w:val="none" w:sz="0" w:space="0" w:color="auto"/>
                <w:left w:val="none" w:sz="0" w:space="0" w:color="auto"/>
                <w:bottom w:val="none" w:sz="0" w:space="0" w:color="auto"/>
                <w:right w:val="none" w:sz="0" w:space="0" w:color="auto"/>
              </w:divBdr>
            </w:div>
            <w:div w:id="1243874164">
              <w:marLeft w:val="0"/>
              <w:marRight w:val="0"/>
              <w:marTop w:val="0"/>
              <w:marBottom w:val="0"/>
              <w:divBdr>
                <w:top w:val="none" w:sz="0" w:space="0" w:color="auto"/>
                <w:left w:val="none" w:sz="0" w:space="0" w:color="auto"/>
                <w:bottom w:val="none" w:sz="0" w:space="0" w:color="auto"/>
                <w:right w:val="none" w:sz="0" w:space="0" w:color="auto"/>
              </w:divBdr>
              <w:divsChild>
                <w:div w:id="1092973695">
                  <w:marLeft w:val="0"/>
                  <w:marRight w:val="0"/>
                  <w:marTop w:val="0"/>
                  <w:marBottom w:val="0"/>
                  <w:divBdr>
                    <w:top w:val="single" w:sz="6" w:space="0" w:color="232325"/>
                    <w:left w:val="single" w:sz="6" w:space="0" w:color="232325"/>
                    <w:bottom w:val="single" w:sz="6" w:space="0" w:color="232325"/>
                    <w:right w:val="single" w:sz="6" w:space="0" w:color="232325"/>
                  </w:divBdr>
                  <w:divsChild>
                    <w:div w:id="494036636">
                      <w:marLeft w:val="0"/>
                      <w:marRight w:val="0"/>
                      <w:marTop w:val="150"/>
                      <w:marBottom w:val="0"/>
                      <w:divBdr>
                        <w:top w:val="none" w:sz="0" w:space="0" w:color="auto"/>
                        <w:left w:val="none" w:sz="0" w:space="0" w:color="auto"/>
                        <w:bottom w:val="none" w:sz="0" w:space="0" w:color="auto"/>
                        <w:right w:val="none" w:sz="0" w:space="0" w:color="auto"/>
                      </w:divBdr>
                    </w:div>
                    <w:div w:id="474376431">
                      <w:marLeft w:val="195"/>
                      <w:marRight w:val="195"/>
                      <w:marTop w:val="450"/>
                      <w:marBottom w:val="75"/>
                      <w:divBdr>
                        <w:top w:val="none" w:sz="0" w:space="0" w:color="auto"/>
                        <w:left w:val="none" w:sz="0" w:space="0" w:color="auto"/>
                        <w:bottom w:val="none" w:sz="0" w:space="0" w:color="auto"/>
                        <w:right w:val="single" w:sz="48" w:space="4" w:color="C616B7"/>
                      </w:divBdr>
                    </w:div>
                  </w:divsChild>
                </w:div>
              </w:divsChild>
            </w:div>
            <w:div w:id="1454052935">
              <w:marLeft w:val="0"/>
              <w:marRight w:val="0"/>
              <w:marTop w:val="0"/>
              <w:marBottom w:val="0"/>
              <w:divBdr>
                <w:top w:val="none" w:sz="0" w:space="0" w:color="auto"/>
                <w:left w:val="none" w:sz="0" w:space="0" w:color="auto"/>
                <w:bottom w:val="none" w:sz="0" w:space="0" w:color="auto"/>
                <w:right w:val="none" w:sz="0" w:space="0" w:color="auto"/>
              </w:divBdr>
              <w:divsChild>
                <w:div w:id="265817302">
                  <w:marLeft w:val="180"/>
                  <w:marRight w:val="180"/>
                  <w:marTop w:val="0"/>
                  <w:marBottom w:val="0"/>
                  <w:divBdr>
                    <w:top w:val="none" w:sz="0" w:space="0" w:color="auto"/>
                    <w:left w:val="none" w:sz="0" w:space="0" w:color="auto"/>
                    <w:bottom w:val="none" w:sz="0" w:space="0" w:color="auto"/>
                    <w:right w:val="none" w:sz="0" w:space="0" w:color="auto"/>
                  </w:divBdr>
                </w:div>
                <w:div w:id="1216158267">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868566079">
      <w:bodyDiv w:val="1"/>
      <w:marLeft w:val="0"/>
      <w:marRight w:val="0"/>
      <w:marTop w:val="0"/>
      <w:marBottom w:val="0"/>
      <w:divBdr>
        <w:top w:val="none" w:sz="0" w:space="0" w:color="auto"/>
        <w:left w:val="none" w:sz="0" w:space="0" w:color="auto"/>
        <w:bottom w:val="none" w:sz="0" w:space="0" w:color="auto"/>
        <w:right w:val="none" w:sz="0" w:space="0" w:color="auto"/>
      </w:divBdr>
      <w:divsChild>
        <w:div w:id="351032108">
          <w:marLeft w:val="0"/>
          <w:marRight w:val="0"/>
          <w:marTop w:val="3150"/>
          <w:marBottom w:val="75"/>
          <w:divBdr>
            <w:top w:val="none" w:sz="0" w:space="0" w:color="auto"/>
            <w:left w:val="none" w:sz="0" w:space="0" w:color="auto"/>
            <w:bottom w:val="none" w:sz="0" w:space="0" w:color="auto"/>
            <w:right w:val="none" w:sz="0" w:space="0" w:color="auto"/>
          </w:divBdr>
          <w:divsChild>
            <w:div w:id="285745815">
              <w:marLeft w:val="0"/>
              <w:marRight w:val="0"/>
              <w:marTop w:val="0"/>
              <w:marBottom w:val="0"/>
              <w:divBdr>
                <w:top w:val="none" w:sz="0" w:space="0" w:color="auto"/>
                <w:left w:val="none" w:sz="0" w:space="0" w:color="auto"/>
                <w:bottom w:val="none" w:sz="0" w:space="0" w:color="auto"/>
                <w:right w:val="none" w:sz="0" w:space="0" w:color="auto"/>
              </w:divBdr>
              <w:divsChild>
                <w:div w:id="653413425">
                  <w:marLeft w:val="0"/>
                  <w:marRight w:val="0"/>
                  <w:marTop w:val="0"/>
                  <w:marBottom w:val="0"/>
                  <w:divBdr>
                    <w:top w:val="none" w:sz="0" w:space="0" w:color="auto"/>
                    <w:left w:val="none" w:sz="0" w:space="0" w:color="auto"/>
                    <w:bottom w:val="none" w:sz="0" w:space="0" w:color="auto"/>
                    <w:right w:val="none" w:sz="0" w:space="0" w:color="auto"/>
                  </w:divBdr>
                  <w:divsChild>
                    <w:div w:id="1867790384">
                      <w:marLeft w:val="0"/>
                      <w:marRight w:val="0"/>
                      <w:marTop w:val="0"/>
                      <w:marBottom w:val="0"/>
                      <w:divBdr>
                        <w:top w:val="none" w:sz="0" w:space="0" w:color="auto"/>
                        <w:left w:val="none" w:sz="0" w:space="0" w:color="auto"/>
                        <w:bottom w:val="single" w:sz="6" w:space="0" w:color="E7E7E7"/>
                        <w:right w:val="none" w:sz="0" w:space="0" w:color="auto"/>
                      </w:divBdr>
                      <w:divsChild>
                        <w:div w:id="250479239">
                          <w:marLeft w:val="0"/>
                          <w:marRight w:val="0"/>
                          <w:marTop w:val="0"/>
                          <w:marBottom w:val="0"/>
                          <w:divBdr>
                            <w:top w:val="none" w:sz="0" w:space="0" w:color="auto"/>
                            <w:left w:val="none" w:sz="0" w:space="0" w:color="auto"/>
                            <w:bottom w:val="none" w:sz="0" w:space="0" w:color="auto"/>
                            <w:right w:val="none" w:sz="0" w:space="0" w:color="auto"/>
                          </w:divBdr>
                          <w:divsChild>
                            <w:div w:id="658192398">
                              <w:marLeft w:val="150"/>
                              <w:marRight w:val="0"/>
                              <w:marTop w:val="0"/>
                              <w:marBottom w:val="0"/>
                              <w:divBdr>
                                <w:top w:val="none" w:sz="0" w:space="0" w:color="auto"/>
                                <w:left w:val="none" w:sz="0" w:space="0" w:color="auto"/>
                                <w:bottom w:val="none" w:sz="0" w:space="0" w:color="auto"/>
                                <w:right w:val="none" w:sz="0" w:space="0" w:color="auto"/>
                              </w:divBdr>
                              <w:divsChild>
                                <w:div w:id="764155486">
                                  <w:marLeft w:val="0"/>
                                  <w:marRight w:val="0"/>
                                  <w:marTop w:val="0"/>
                                  <w:marBottom w:val="0"/>
                                  <w:divBdr>
                                    <w:top w:val="none" w:sz="0" w:space="0" w:color="auto"/>
                                    <w:left w:val="none" w:sz="0" w:space="0" w:color="auto"/>
                                    <w:bottom w:val="none" w:sz="0" w:space="0" w:color="auto"/>
                                    <w:right w:val="none" w:sz="0" w:space="0" w:color="auto"/>
                                  </w:divBdr>
                                  <w:divsChild>
                                    <w:div w:id="2133817774">
                                      <w:marLeft w:val="0"/>
                                      <w:marRight w:val="0"/>
                                      <w:marTop w:val="0"/>
                                      <w:marBottom w:val="0"/>
                                      <w:divBdr>
                                        <w:top w:val="none" w:sz="0" w:space="0" w:color="auto"/>
                                        <w:left w:val="none" w:sz="0" w:space="0" w:color="auto"/>
                                        <w:bottom w:val="none" w:sz="0" w:space="0" w:color="auto"/>
                                        <w:right w:val="none" w:sz="0" w:space="0" w:color="auto"/>
                                      </w:divBdr>
                                      <w:divsChild>
                                        <w:div w:id="8584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128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numbering" Target="numbering.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VV2">
  <a:themeElements>
    <a:clrScheme name="MÚ-červeno-modrá">
      <a:dk1>
        <a:sysClr val="windowText" lastClr="000000"/>
      </a:dk1>
      <a:lt1>
        <a:sysClr val="window" lastClr="FFFFFF"/>
      </a:lt1>
      <a:dk2>
        <a:srgbClr val="000000"/>
      </a:dk2>
      <a:lt2>
        <a:srgbClr val="F8F8F8"/>
      </a:lt2>
      <a:accent1>
        <a:srgbClr val="DDDDDD"/>
      </a:accent1>
      <a:accent2>
        <a:srgbClr val="FF0000"/>
      </a:accent2>
      <a:accent3>
        <a:srgbClr val="0070C0"/>
      </a:accent3>
      <a:accent4>
        <a:srgbClr val="808080"/>
      </a:accent4>
      <a:accent5>
        <a:srgbClr val="C00000"/>
      </a:accent5>
      <a:accent6>
        <a:srgbClr val="4D4D4D"/>
      </a:accent6>
      <a:hlink>
        <a:srgbClr val="0070C0"/>
      </a:hlink>
      <a:folHlink>
        <a:srgbClr val="00B0F0"/>
      </a:folHlink>
    </a:clrScheme>
    <a:fontScheme name="MVV">
      <a:majorFont>
        <a:latin typeface="Arial"/>
        <a:ea typeface=""/>
        <a:cs typeface=""/>
      </a:majorFont>
      <a:minorFont>
        <a:latin typeface="Arial"/>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5FB8B-DBA6-4CFF-84AE-34130F5E7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4393</Words>
  <Characters>25920</Characters>
  <Application>Microsoft Office Word</Application>
  <DocSecurity>0</DocSecurity>
  <Lines>216</Lines>
  <Paragraphs>60</Paragraphs>
  <ScaleCrop>false</ScaleCrop>
  <HeadingPairs>
    <vt:vector size="2" baseType="variant">
      <vt:variant>
        <vt:lpstr>Název</vt:lpstr>
      </vt:variant>
      <vt:variant>
        <vt:i4>1</vt:i4>
      </vt:variant>
    </vt:vector>
  </HeadingPairs>
  <TitlesOfParts>
    <vt:vector size="1" baseType="lpstr">
      <vt:lpstr>Hlavičkový papír</vt:lpstr>
    </vt:vector>
  </TitlesOfParts>
  <Company>MVV Energie CZ  s.r.o.</Company>
  <LinksUpToDate>false</LinksUpToDate>
  <CharactersWithSpaces>30253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Hlavičkový papír</dc:title>
  <dc:creator>MVV-200-NTB-172\david.soucek</dc:creator>
  <cp:lastModifiedBy>Vodrážková</cp:lastModifiedBy>
  <cp:revision>6</cp:revision>
  <cp:lastPrinted>2025-04-11T12:18:00Z</cp:lastPrinted>
  <dcterms:created xsi:type="dcterms:W3CDTF">2025-04-01T10:32:00Z</dcterms:created>
  <dcterms:modified xsi:type="dcterms:W3CDTF">2025-04-11T12:19:00Z</dcterms:modified>
</cp:coreProperties>
</file>