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420" w:after="0" w:line="240" w:lineRule="auto"/>
        <w:ind w:left="0" w:right="0" w:firstLine="0"/>
        <w:jc w:val="center"/>
        <w:rPr>
          <w:sz w:val="36"/>
          <w:szCs w:val="36"/>
        </w:rPr>
      </w:pPr>
      <w:bookmarkStart w:id="0" w:name="bookmark0"/>
      <w:bookmarkStart w:id="1" w:name="bookmark1"/>
      <w:bookmarkStart w:id="2" w:name="bookmark2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Dodatek č. 1 ke</w:t>
      </w:r>
      <w:bookmarkEnd w:id="0"/>
      <w:bookmarkEnd w:id="1"/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sz w:val="36"/>
          <w:szCs w:val="36"/>
        </w:rPr>
      </w:pPr>
      <w:bookmarkStart w:id="3" w:name="bookmark3"/>
      <w:bookmarkStart w:id="4" w:name="bookmark4"/>
      <w:bookmarkStart w:id="5" w:name="bookmark5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SMLOUVĚ O DÍLO</w:t>
      </w:r>
      <w:bookmarkEnd w:id="3"/>
      <w:bookmarkEnd w:id="4"/>
      <w:bookmarkEnd w:id="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uzavřené v souladu s § 2586 a násl. zákona č. 89/2012 Sb., občanský zákoník, ve znění pozdějších předpisů (dále jen „OZ“), (dále jen „dodatek“)</w:t>
      </w:r>
      <w:bookmarkEnd w:id="6"/>
      <w:bookmarkEnd w:id="7"/>
      <w:bookmarkEnd w:id="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260/2025</w:t>
      </w:r>
      <w:bookmarkEnd w:id="10"/>
      <w:bookmarkEnd w:id="11"/>
      <w:bookmarkEnd w:id="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248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 z91/24</w:t>
      </w:r>
      <w:bookmarkEnd w:id="12"/>
      <w:bookmarkEnd w:id="13"/>
      <w:bookmarkEnd w:id="1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“VD Sedlec – potápěčské práce“ a “VD Sedlec, výměna česlí na vtocích do SV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závlahového potrubí“ – potápěčské práce 2025“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15" w:name="bookmark15"/>
      <w:bookmarkStart w:id="16" w:name="bookmark16"/>
      <w:bookmarkStart w:id="17" w:name="bookmark17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  <w:bookmarkEnd w:id="15"/>
      <w:bookmarkEnd w:id="16"/>
      <w:bookmarkEnd w:id="17"/>
    </w:p>
    <w:p>
      <w:pPr>
        <w:pStyle w:val="Style2"/>
        <w:keepNext/>
        <w:keepLines/>
        <w:widowControl w:val="0"/>
        <w:shd w:val="clear" w:color="auto" w:fill="auto"/>
        <w:tabs>
          <w:tab w:pos="4283" w:val="left"/>
        </w:tabs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  <w:t>Povodí Ohře, státní podnik</w:t>
      </w:r>
      <w:bookmarkEnd w:id="18"/>
      <w:bookmarkEnd w:id="19"/>
      <w:bookmarkEnd w:id="20"/>
    </w:p>
    <w:p>
      <w:pPr>
        <w:pStyle w:val="Style2"/>
        <w:keepNext/>
        <w:keepLines/>
        <w:widowControl w:val="0"/>
        <w:shd w:val="clear" w:color="auto" w:fill="auto"/>
        <w:tabs>
          <w:tab w:pos="4283" w:val="left"/>
        </w:tabs>
        <w:bidi w:val="0"/>
        <w:spacing w:before="0" w:after="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Bezručova 4219, 430 03 Chomutov</w:t>
      </w:r>
      <w:bookmarkEnd w:id="21"/>
      <w:bookmarkEnd w:id="22"/>
      <w:bookmarkEnd w:id="2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  <w:bookmarkEnd w:id="24"/>
      <w:bookmarkEnd w:id="25"/>
      <w:bookmarkEnd w:id="26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7" w:name="bookmark27"/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</w:t>
      </w:r>
      <w:bookmarkEnd w:id="27"/>
      <w:bookmarkEnd w:id="28"/>
      <w:bookmarkEnd w:id="2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0" w:name="bookmark30"/>
      <w:bookmarkStart w:id="31" w:name="bookmark31"/>
      <w:bookmarkStart w:id="32" w:name="bookmark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k jednání o věcech smluvních:</w:t>
      </w:r>
      <w:bookmarkEnd w:id="30"/>
      <w:bookmarkEnd w:id="31"/>
      <w:bookmarkEnd w:id="3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3" w:name="bookmark33"/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technických:</w:t>
      </w:r>
      <w:bookmarkEnd w:id="33"/>
      <w:bookmarkEnd w:id="34"/>
      <w:bookmarkEnd w:id="3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36" w:name="bookmark36"/>
      <w:bookmarkStart w:id="37" w:name="bookmark37"/>
      <w:bookmarkStart w:id="38" w:name="bookmark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objednatele:</w:t>
      </w:r>
      <w:bookmarkEnd w:id="36"/>
      <w:bookmarkEnd w:id="37"/>
      <w:bookmarkEnd w:id="38"/>
    </w:p>
    <w:p>
      <w:pPr>
        <w:pStyle w:val="Style9"/>
        <w:keepNext w:val="0"/>
        <w:keepLines w:val="0"/>
        <w:widowControl w:val="0"/>
        <w:shd w:val="clear" w:color="auto" w:fill="auto"/>
        <w:tabs>
          <w:tab w:pos="428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</w:p>
    <w:p>
      <w:pPr>
        <w:pStyle w:val="Style2"/>
        <w:keepNext/>
        <w:keepLines/>
        <w:widowControl w:val="0"/>
        <w:shd w:val="clear" w:color="auto" w:fill="auto"/>
        <w:tabs>
          <w:tab w:pos="4283" w:val="left"/>
        </w:tabs>
        <w:bidi w:val="0"/>
        <w:spacing w:before="0" w:after="0" w:line="240" w:lineRule="auto"/>
        <w:ind w:left="0" w:right="0" w:firstLine="0"/>
        <w:jc w:val="left"/>
      </w:pPr>
      <w:bookmarkStart w:id="39" w:name="bookmark39"/>
      <w:bookmarkStart w:id="40" w:name="bookmark40"/>
      <w:bookmarkStart w:id="41" w:name="bookmark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  <w:bookmarkEnd w:id="39"/>
      <w:bookmarkEnd w:id="40"/>
      <w:bookmarkEnd w:id="41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2" w:name="bookmark42"/>
      <w:bookmarkStart w:id="43" w:name="bookmark43"/>
      <w:bookmarkStart w:id="44" w:name="bookmark4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42"/>
      <w:bookmarkEnd w:id="43"/>
      <w:bookmarkEnd w:id="44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5" w:name="bookmark45"/>
      <w:bookmarkStart w:id="46" w:name="bookmark46"/>
      <w:bookmarkStart w:id="47" w:name="bookmark4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45"/>
      <w:bookmarkEnd w:id="46"/>
      <w:bookmarkEnd w:id="47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48" w:name="bookmark48"/>
      <w:bookmarkStart w:id="49" w:name="bookmark49"/>
      <w:bookmarkStart w:id="50" w:name="bookmark5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  <w:bookmarkEnd w:id="48"/>
      <w:bookmarkEnd w:id="49"/>
      <w:bookmarkEnd w:id="50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51" w:name="bookmark51"/>
      <w:bookmarkStart w:id="52" w:name="bookmark52"/>
      <w:bookmarkStart w:id="53" w:name="bookmark53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51"/>
      <w:bookmarkEnd w:id="52"/>
      <w:bookmarkEnd w:id="53"/>
    </w:p>
    <w:p>
      <w:pPr>
        <w:pStyle w:val="Style2"/>
        <w:keepNext/>
        <w:keepLines/>
        <w:widowControl w:val="0"/>
        <w:shd w:val="clear" w:color="auto" w:fill="auto"/>
        <w:tabs>
          <w:tab w:pos="4283" w:val="left"/>
        </w:tabs>
        <w:bidi w:val="0"/>
        <w:spacing w:before="0" w:after="0" w:line="240" w:lineRule="auto"/>
        <w:ind w:left="0" w:right="0" w:firstLine="0"/>
        <w:jc w:val="left"/>
      </w:pPr>
      <w:bookmarkStart w:id="54" w:name="bookmark54"/>
      <w:bookmarkStart w:id="55" w:name="bookmark55"/>
      <w:bookmarkStart w:id="56" w:name="bookmark56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Potápěčská stanice, a.s.</w:t>
      </w:r>
      <w:bookmarkEnd w:id="54"/>
      <w:bookmarkEnd w:id="55"/>
      <w:bookmarkEnd w:id="56"/>
    </w:p>
    <w:p>
      <w:pPr>
        <w:pStyle w:val="Style2"/>
        <w:keepNext/>
        <w:keepLines/>
        <w:widowControl w:val="0"/>
        <w:shd w:val="clear" w:color="auto" w:fill="auto"/>
        <w:tabs>
          <w:tab w:pos="4283" w:val="left"/>
        </w:tabs>
        <w:bidi w:val="0"/>
        <w:spacing w:before="0" w:after="0" w:line="240" w:lineRule="auto"/>
        <w:ind w:left="0" w:right="0" w:firstLine="0"/>
        <w:jc w:val="left"/>
      </w:pPr>
      <w:bookmarkStart w:id="57" w:name="bookmark57"/>
      <w:bookmarkStart w:id="58" w:name="bookmark58"/>
      <w:bookmarkStart w:id="59" w:name="bookmark5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Botičská 1936/4, Nové Město, 128 00 Praha 2</w:t>
      </w:r>
      <w:bookmarkEnd w:id="57"/>
      <w:bookmarkEnd w:id="58"/>
      <w:bookmarkEnd w:id="5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0" w:name="bookmark60"/>
      <w:bookmarkStart w:id="61" w:name="bookmark61"/>
      <w:bookmarkStart w:id="62" w:name="bookmark6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smlouvy:</w:t>
      </w:r>
      <w:bookmarkEnd w:id="60"/>
      <w:bookmarkEnd w:id="61"/>
      <w:bookmarkEnd w:id="6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3" w:name="bookmark63"/>
      <w:bookmarkStart w:id="64" w:name="bookmark64"/>
      <w:bookmarkStart w:id="65" w:name="bookmark6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smluvních:</w:t>
      </w:r>
      <w:bookmarkEnd w:id="63"/>
      <w:bookmarkEnd w:id="64"/>
      <w:bookmarkEnd w:id="6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6" w:name="bookmark66"/>
      <w:bookmarkStart w:id="67" w:name="bookmark67"/>
      <w:bookmarkStart w:id="68" w:name="bookmark6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technických:</w:t>
      </w:r>
      <w:bookmarkEnd w:id="66"/>
      <w:bookmarkEnd w:id="67"/>
      <w:bookmarkEnd w:id="6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9" w:name="bookmark69"/>
      <w:bookmarkStart w:id="70" w:name="bookmark70"/>
      <w:bookmarkStart w:id="71" w:name="bookmark7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stavbyvedoucí:</w:t>
      </w:r>
      <w:bookmarkEnd w:id="69"/>
      <w:bookmarkEnd w:id="70"/>
      <w:bookmarkEnd w:id="71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2" w:name="bookmark72"/>
      <w:bookmarkStart w:id="73" w:name="bookmark73"/>
      <w:bookmarkStart w:id="74" w:name="bookmark7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manažer stavby:</w:t>
      </w:r>
      <w:bookmarkEnd w:id="72"/>
      <w:bookmarkEnd w:id="73"/>
      <w:bookmarkEnd w:id="74"/>
    </w:p>
    <w:p>
      <w:pPr>
        <w:pStyle w:val="Style2"/>
        <w:keepNext/>
        <w:keepLines/>
        <w:widowControl w:val="0"/>
        <w:shd w:val="clear" w:color="auto" w:fill="auto"/>
        <w:tabs>
          <w:tab w:pos="4283" w:val="left"/>
        </w:tabs>
        <w:bidi w:val="0"/>
        <w:spacing w:before="0" w:after="0" w:line="240" w:lineRule="auto"/>
        <w:ind w:left="0" w:right="0" w:firstLine="0"/>
        <w:jc w:val="left"/>
      </w:pPr>
      <w:bookmarkStart w:id="75" w:name="bookmark75"/>
      <w:bookmarkStart w:id="76" w:name="bookmark76"/>
      <w:bookmarkStart w:id="77" w:name="bookmark7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47285532</w:t>
      </w:r>
      <w:bookmarkEnd w:id="75"/>
      <w:bookmarkEnd w:id="76"/>
      <w:bookmarkEnd w:id="77"/>
    </w:p>
    <w:p>
      <w:pPr>
        <w:pStyle w:val="Style2"/>
        <w:keepNext/>
        <w:keepLines/>
        <w:widowControl w:val="0"/>
        <w:shd w:val="clear" w:color="auto" w:fill="auto"/>
        <w:tabs>
          <w:tab w:pos="4283" w:val="left"/>
        </w:tabs>
        <w:bidi w:val="0"/>
        <w:spacing w:before="0" w:after="0" w:line="240" w:lineRule="auto"/>
        <w:ind w:left="0" w:right="0" w:firstLine="0"/>
        <w:jc w:val="left"/>
      </w:pPr>
      <w:bookmarkStart w:id="78" w:name="bookmark78"/>
      <w:bookmarkStart w:id="79" w:name="bookmark79"/>
      <w:bookmarkStart w:id="80" w:name="bookmark8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CZ47285532</w:t>
      </w:r>
      <w:bookmarkEnd w:id="78"/>
      <w:bookmarkEnd w:id="79"/>
      <w:bookmarkEnd w:id="80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1" w:name="bookmark81"/>
      <w:bookmarkStart w:id="82" w:name="bookmark82"/>
      <w:bookmarkStart w:id="83" w:name="bookmark8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81"/>
      <w:bookmarkEnd w:id="82"/>
      <w:bookmarkEnd w:id="8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4" w:name="bookmark84"/>
      <w:bookmarkStart w:id="85" w:name="bookmark85"/>
      <w:bookmarkStart w:id="86" w:name="bookmark8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84"/>
      <w:bookmarkEnd w:id="85"/>
      <w:bookmarkEnd w:id="86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7" w:name="bookmark87"/>
      <w:bookmarkStart w:id="88" w:name="bookmark88"/>
      <w:bookmarkStart w:id="89" w:name="bookmark8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Městského soudu v Praze v oddílu B, vložce č. 20037</w:t>
      </w:r>
      <w:bookmarkEnd w:id="87"/>
      <w:bookmarkEnd w:id="88"/>
      <w:bookmarkEnd w:id="89"/>
    </w:p>
    <w:p>
      <w:pPr>
        <w:pStyle w:val="Style2"/>
        <w:keepNext/>
        <w:keepLines/>
        <w:widowControl w:val="0"/>
        <w:shd w:val="clear" w:color="auto" w:fill="auto"/>
        <w:tabs>
          <w:tab w:pos="4283" w:val="left"/>
        </w:tabs>
        <w:bidi w:val="0"/>
        <w:spacing w:before="0" w:after="180" w:line="240" w:lineRule="auto"/>
        <w:ind w:left="0" w:right="0" w:firstLine="0"/>
        <w:jc w:val="left"/>
      </w:pPr>
      <w:bookmarkStart w:id="90" w:name="bookmark90"/>
      <w:bookmarkStart w:id="91" w:name="bookmark91"/>
      <w:bookmarkStart w:id="92" w:name="bookmark9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</w:t>
        <w:tab/>
        <w:t>e-mail:</w:t>
      </w:r>
      <w:bookmarkEnd w:id="90"/>
      <w:bookmarkEnd w:id="91"/>
      <w:bookmarkEnd w:id="9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93" w:name="bookmark93"/>
      <w:bookmarkStart w:id="94" w:name="bookmark94"/>
      <w:bookmarkStart w:id="95" w:name="bookmark9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  <w:bookmarkEnd w:id="93"/>
      <w:bookmarkEnd w:id="94"/>
      <w:bookmarkEnd w:id="95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provádění prací na stavbě, přičemž jejich zajištění je podmínkou pro řádné dokončení díla, se smluvní strany dohodly ve smyslu příslušných smluvních ustanovení na uzavření tohoto dodatku.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96" w:name="bookmark96"/>
      <w:bookmarkEnd w:id="9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změnu předmětu díla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rozsahu přílohy tohoto dodatku – Soupisu změn závazku ze dne 15.05.2025,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97" w:name="bookmark97"/>
      <w:bookmarkEnd w:id="9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změnu ceny díla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odpočtu neprovedených prací. Tato změna je obsahem Přílohy č. 1 Soupisu změn závazku ze dne 15.05.2025. Tato změna závazku ze smlouvy v souvislosti se zadáním dalších prací nemění celkovou povahu veřejné zakázky.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byla řádně projednána a odsouhlasena zástupci smluvních stran. Obě smluvní strany odsouhlasily a potvrdily oceněný soupis prací.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se: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line="240" w:lineRule="auto"/>
        <w:ind w:left="0" w:right="0" w:firstLine="0"/>
        <w:jc w:val="both"/>
      </w:pPr>
      <w:bookmarkStart w:id="98" w:name="bookmark98"/>
      <w:bookmarkEnd w:id="9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účel a předmět smlouvy v rozsahu přílohy tohoto dodatku – Soupisu změn závazku ze dne 15.05.2025, který se tímto stává nedílnou součástí smlouvy,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99" w:name="bookmark99"/>
      <w:bookmarkEnd w:id="9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Cena, odst. 4.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Objednatel souhlasí s tím, že proplatí zhotoviteli jako protihodnotu za provedení a dokončení díla částku: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75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smluvní cena bez DPH</w:t>
        <w:tab/>
        <w:t>912 101,60 Kč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toho: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Sedlec – potápěčské práce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75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bez DPH</w:t>
        <w:tab/>
        <w:t>112 563,50 Kč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755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Sedlec, výměna česlí na vtocích do SV a závlahového potrubí – potápěčské práce cena bez DPH</w:t>
        <w:tab/>
        <w:t>799 538,10 Kč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75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smluvní cena bez DPH</w:t>
        <w:tab/>
        <w:t>909 155,60 Kč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toho: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Sedlec – potápěčské práce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75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bez DPH</w:t>
        <w:tab/>
        <w:t>112 563,50 Kč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755" w:val="left"/>
        </w:tabs>
        <w:bidi w:val="0"/>
        <w:spacing w:before="0" w:after="70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Sedlec, výměna česlí na vtocích do SV a závlahového potrubí – potápěčské práce cena bez DPH</w:t>
        <w:tab/>
        <w:t>796 592,10 Kč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se nemění. Smluvní strany nepovažují žádné ustanovení dodatku za obchodní tajemství.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100" w:name="bookmark100"/>
      <w:bookmarkStart w:id="101" w:name="bookmark101"/>
      <w:bookmarkStart w:id="102" w:name="bookmark10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tento dodatek ke smlouvě uzavřely určitě, vážně a srozumitelně, že je projevem jejich pravé a svobodné vůle, a na důkaz tohoto připojují své podpisy.</w:t>
      </w:r>
      <w:bookmarkEnd w:id="100"/>
      <w:bookmarkEnd w:id="101"/>
      <w:bookmarkEnd w:id="10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both"/>
      </w:pPr>
      <w:bookmarkStart w:id="103" w:name="bookmark10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účinnosti zveřejněním v Registru smluv, pokud této účinnosti dle příslušných ustanovení dodatku ke smlouvě nenabude později. Plnění předmětu tohoto dodatku smlouvy před</w:t>
      </w:r>
      <w:bookmarkEnd w:id="10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účinností tohoto dodatku smlouvy se považuje za plnění podle tohoto dodatku smlouvy a práva a povinnosti z něj vzniklé se řídí tímto dodatkem smlouvy.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4" w:name="bookmark104"/>
      <w:bookmarkStart w:id="105" w:name="bookmark105"/>
      <w:bookmarkStart w:id="106" w:name="bookmark10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tohoto dodatku je:</w:t>
      </w:r>
      <w:bookmarkEnd w:id="104"/>
      <w:bookmarkEnd w:id="105"/>
      <w:bookmarkEnd w:id="106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387" w:left="1393" w:right="1390" w:bottom="1485" w:header="959" w:footer="3" w:gutter="0"/>
          <w:pgNumType w:start="1"/>
          <w:cols w:space="720"/>
          <w:noEndnote/>
          <w:rtlGutter w:val="0"/>
          <w:docGrid w:linePitch="360"/>
        </w:sectPr>
      </w:pPr>
      <w:bookmarkStart w:id="107" w:name="bookmark107"/>
      <w:bookmarkStart w:id="108" w:name="bookmark108"/>
      <w:bookmarkStart w:id="109" w:name="bookmark10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Soupis změn závazku ze dne 15.05.2025</w:t>
      </w:r>
      <w:bookmarkEnd w:id="107"/>
      <w:bookmarkEnd w:id="108"/>
      <w:bookmarkEnd w:id="109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4" w:after="1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0" w:right="0" w:bottom="1219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investiční ředitel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Povodí Ohře, státní podnik elektronicky podepsal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předseda správní rady Potápěčská stanice, a.s.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elektronicky podepsal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085" w:left="1394" w:right="3036" w:bottom="1219" w:header="0" w:footer="3" w:gutter="0"/>
      <w:cols w:num="2" w:space="2313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5840730</wp:posOffset>
              </wp:positionH>
              <wp:positionV relativeFrom="page">
                <wp:posOffset>10109835</wp:posOffset>
              </wp:positionV>
              <wp:extent cx="822960" cy="20129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9.90000000000003pt;margin-top:796.05000000000007pt;width:64.799999999999997pt;height:15.8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 M L O U V A    O    D Í L O</dc:title>
  <dc:subject/>
  <dc:creator>Vlastimil Hasik</dc:creator>
  <cp:keywords/>
</cp:coreProperties>
</file>