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2552"/>
        <w:gridCol w:w="6660"/>
      </w:tblGrid>
      <w:tr w:rsidR="00BA5B0B" w:rsidRPr="005F779F" w14:paraId="16B49FCF" w14:textId="77777777" w:rsidTr="00C07CE2">
        <w:tc>
          <w:tcPr>
            <w:tcW w:w="2552" w:type="dxa"/>
          </w:tcPr>
          <w:p w14:paraId="4F080187" w14:textId="77777777" w:rsidR="00BA5B0B" w:rsidRPr="005F779F" w:rsidRDefault="00BA5B0B" w:rsidP="003E2A0C">
            <w:pPr>
              <w:spacing w:after="0" w:line="240" w:lineRule="auto"/>
              <w:jc w:val="both"/>
              <w:rPr>
                <w:sz w:val="20"/>
                <w:szCs w:val="20"/>
                <w:lang w:eastAsia="cs-CZ"/>
              </w:rPr>
            </w:pPr>
            <w:r w:rsidRPr="005F779F">
              <w:rPr>
                <w:sz w:val="20"/>
                <w:szCs w:val="20"/>
                <w:lang w:eastAsia="cs-CZ"/>
              </w:rPr>
              <w:t>Společnost:</w:t>
            </w:r>
          </w:p>
        </w:tc>
        <w:tc>
          <w:tcPr>
            <w:tcW w:w="6660" w:type="dxa"/>
          </w:tcPr>
          <w:p w14:paraId="012F82AC" w14:textId="2FAC91E3" w:rsidR="00BA5B0B" w:rsidRPr="005F779F" w:rsidRDefault="005F779F" w:rsidP="003E2A0C">
            <w:pPr>
              <w:spacing w:after="0" w:line="240" w:lineRule="auto"/>
              <w:jc w:val="both"/>
              <w:rPr>
                <w:b/>
                <w:sz w:val="20"/>
                <w:szCs w:val="20"/>
                <w:lang w:eastAsia="cs-CZ"/>
              </w:rPr>
            </w:pPr>
            <w:r w:rsidRPr="005F779F">
              <w:rPr>
                <w:b/>
                <w:sz w:val="20"/>
                <w:szCs w:val="20"/>
                <w:lang w:eastAsia="cs-CZ"/>
              </w:rPr>
              <w:t>FOMEI s.r.o.</w:t>
            </w:r>
          </w:p>
        </w:tc>
      </w:tr>
      <w:tr w:rsidR="00BA5B0B" w:rsidRPr="005F779F" w14:paraId="5A97E502" w14:textId="77777777" w:rsidTr="00C07CE2">
        <w:tc>
          <w:tcPr>
            <w:tcW w:w="2552" w:type="dxa"/>
          </w:tcPr>
          <w:p w14:paraId="2A6378D5" w14:textId="77777777" w:rsidR="00BA5B0B" w:rsidRPr="005F779F" w:rsidRDefault="00BA5B0B" w:rsidP="003E2A0C">
            <w:pPr>
              <w:spacing w:after="0" w:line="240" w:lineRule="auto"/>
              <w:jc w:val="both"/>
              <w:rPr>
                <w:sz w:val="20"/>
                <w:szCs w:val="20"/>
                <w:lang w:eastAsia="cs-CZ"/>
              </w:rPr>
            </w:pPr>
            <w:r w:rsidRPr="005F779F">
              <w:rPr>
                <w:sz w:val="20"/>
                <w:szCs w:val="20"/>
                <w:lang w:eastAsia="cs-CZ"/>
              </w:rPr>
              <w:t>IČO:</w:t>
            </w:r>
          </w:p>
        </w:tc>
        <w:tc>
          <w:tcPr>
            <w:tcW w:w="6660" w:type="dxa"/>
          </w:tcPr>
          <w:p w14:paraId="451F3DEF" w14:textId="4D5A8EA0" w:rsidR="00BA5B0B" w:rsidRPr="005F779F" w:rsidRDefault="005F779F" w:rsidP="003E2A0C">
            <w:pPr>
              <w:spacing w:after="0" w:line="240" w:lineRule="auto"/>
              <w:jc w:val="both"/>
              <w:rPr>
                <w:sz w:val="20"/>
                <w:szCs w:val="20"/>
                <w:lang w:eastAsia="cs-CZ"/>
              </w:rPr>
            </w:pPr>
            <w:r w:rsidRPr="005F779F">
              <w:rPr>
                <w:sz w:val="20"/>
                <w:szCs w:val="20"/>
                <w:lang w:eastAsia="cs-CZ"/>
              </w:rPr>
              <w:t>46504869</w:t>
            </w:r>
          </w:p>
        </w:tc>
      </w:tr>
      <w:tr w:rsidR="00BA5B0B" w:rsidRPr="005F779F" w14:paraId="1844E9CF" w14:textId="77777777" w:rsidTr="00C07CE2">
        <w:tc>
          <w:tcPr>
            <w:tcW w:w="2552" w:type="dxa"/>
          </w:tcPr>
          <w:p w14:paraId="10396488" w14:textId="77777777" w:rsidR="00BA5B0B" w:rsidRPr="005F779F" w:rsidRDefault="00BA5B0B" w:rsidP="003E2A0C">
            <w:pPr>
              <w:spacing w:after="0" w:line="240" w:lineRule="auto"/>
              <w:jc w:val="both"/>
              <w:rPr>
                <w:sz w:val="20"/>
                <w:szCs w:val="20"/>
                <w:lang w:eastAsia="cs-CZ"/>
              </w:rPr>
            </w:pPr>
            <w:r w:rsidRPr="005F779F">
              <w:rPr>
                <w:sz w:val="20"/>
                <w:szCs w:val="20"/>
                <w:lang w:eastAsia="cs-CZ"/>
              </w:rPr>
              <w:t>DIČ:</w:t>
            </w:r>
          </w:p>
        </w:tc>
        <w:tc>
          <w:tcPr>
            <w:tcW w:w="6660" w:type="dxa"/>
          </w:tcPr>
          <w:p w14:paraId="04D270FA" w14:textId="213D370A" w:rsidR="00BA5B0B" w:rsidRPr="005F779F" w:rsidRDefault="005F779F" w:rsidP="003E2A0C">
            <w:pPr>
              <w:spacing w:after="0" w:line="240" w:lineRule="auto"/>
              <w:jc w:val="both"/>
              <w:rPr>
                <w:sz w:val="20"/>
                <w:szCs w:val="20"/>
                <w:lang w:eastAsia="cs-CZ"/>
              </w:rPr>
            </w:pPr>
            <w:r w:rsidRPr="005F779F">
              <w:rPr>
                <w:sz w:val="20"/>
                <w:szCs w:val="20"/>
                <w:lang w:eastAsia="cs-CZ"/>
              </w:rPr>
              <w:t>CZ46504869</w:t>
            </w:r>
          </w:p>
        </w:tc>
      </w:tr>
      <w:tr w:rsidR="00BA5B0B" w:rsidRPr="005F779F" w14:paraId="4169B90F" w14:textId="77777777" w:rsidTr="00C07CE2">
        <w:tc>
          <w:tcPr>
            <w:tcW w:w="2552" w:type="dxa"/>
          </w:tcPr>
          <w:p w14:paraId="26CA6C83" w14:textId="77777777" w:rsidR="00BA5B0B" w:rsidRPr="005F779F" w:rsidRDefault="00BA5B0B" w:rsidP="003E2A0C">
            <w:pPr>
              <w:spacing w:after="0" w:line="240" w:lineRule="auto"/>
              <w:jc w:val="both"/>
              <w:rPr>
                <w:sz w:val="20"/>
                <w:szCs w:val="20"/>
                <w:lang w:eastAsia="cs-CZ"/>
              </w:rPr>
            </w:pPr>
            <w:r w:rsidRPr="005F779F">
              <w:rPr>
                <w:sz w:val="20"/>
                <w:szCs w:val="20"/>
                <w:lang w:eastAsia="cs-CZ"/>
              </w:rPr>
              <w:t>Se sídlem:</w:t>
            </w:r>
          </w:p>
        </w:tc>
        <w:tc>
          <w:tcPr>
            <w:tcW w:w="6660" w:type="dxa"/>
          </w:tcPr>
          <w:p w14:paraId="3EB1ADEA" w14:textId="3DBA1604" w:rsidR="00BA5B0B" w:rsidRPr="005F779F" w:rsidRDefault="005F779F" w:rsidP="003E2A0C">
            <w:pPr>
              <w:spacing w:after="0" w:line="240" w:lineRule="auto"/>
              <w:jc w:val="both"/>
              <w:rPr>
                <w:sz w:val="20"/>
                <w:szCs w:val="20"/>
                <w:lang w:eastAsia="cs-CZ"/>
              </w:rPr>
            </w:pPr>
            <w:r w:rsidRPr="005F779F">
              <w:rPr>
                <w:sz w:val="20"/>
                <w:szCs w:val="20"/>
                <w:lang w:eastAsia="cs-CZ"/>
              </w:rPr>
              <w:t>Praha 8, U Libeňského pivovaru 2015/10, PSČ 180 00</w:t>
            </w:r>
          </w:p>
        </w:tc>
      </w:tr>
      <w:tr w:rsidR="00BA5B0B" w:rsidRPr="005F779F" w14:paraId="7B2D79A3" w14:textId="77777777" w:rsidTr="00C07CE2">
        <w:tc>
          <w:tcPr>
            <w:tcW w:w="2552" w:type="dxa"/>
          </w:tcPr>
          <w:p w14:paraId="0FED4021" w14:textId="77777777" w:rsidR="00BA5B0B" w:rsidRPr="005F779F" w:rsidRDefault="00BA5B0B" w:rsidP="003E2A0C">
            <w:pPr>
              <w:spacing w:after="0" w:line="240" w:lineRule="auto"/>
              <w:jc w:val="both"/>
              <w:rPr>
                <w:sz w:val="20"/>
                <w:szCs w:val="20"/>
                <w:lang w:eastAsia="cs-CZ"/>
              </w:rPr>
            </w:pPr>
            <w:r w:rsidRPr="005F779F">
              <w:rPr>
                <w:sz w:val="20"/>
                <w:szCs w:val="20"/>
                <w:lang w:eastAsia="cs-CZ"/>
              </w:rPr>
              <w:t>Zastoupená:</w:t>
            </w:r>
          </w:p>
        </w:tc>
        <w:tc>
          <w:tcPr>
            <w:tcW w:w="6660" w:type="dxa"/>
          </w:tcPr>
          <w:p w14:paraId="1BC1F700" w14:textId="72464D1E" w:rsidR="00BA5B0B" w:rsidRPr="005F779F" w:rsidRDefault="005F779F" w:rsidP="003E2A0C">
            <w:pPr>
              <w:spacing w:after="0" w:line="240" w:lineRule="auto"/>
              <w:jc w:val="both"/>
              <w:rPr>
                <w:sz w:val="20"/>
                <w:szCs w:val="20"/>
                <w:lang w:eastAsia="cs-CZ"/>
              </w:rPr>
            </w:pPr>
            <w:r w:rsidRPr="005F779F">
              <w:rPr>
                <w:sz w:val="20"/>
                <w:szCs w:val="20"/>
                <w:lang w:eastAsia="cs-CZ"/>
              </w:rPr>
              <w:t>Jaroslav Faltus, prokurista</w:t>
            </w:r>
          </w:p>
        </w:tc>
      </w:tr>
      <w:tr w:rsidR="00BA5B0B" w:rsidRPr="005F779F" w14:paraId="6E5B4210" w14:textId="77777777" w:rsidTr="00C07CE2">
        <w:tc>
          <w:tcPr>
            <w:tcW w:w="2552" w:type="dxa"/>
          </w:tcPr>
          <w:p w14:paraId="1AA05CBA" w14:textId="77777777" w:rsidR="00BA5B0B" w:rsidRPr="005F779F" w:rsidRDefault="00BA5B0B" w:rsidP="003E2A0C">
            <w:pPr>
              <w:spacing w:after="0" w:line="240" w:lineRule="auto"/>
              <w:jc w:val="both"/>
              <w:rPr>
                <w:sz w:val="20"/>
                <w:szCs w:val="20"/>
                <w:lang w:eastAsia="cs-CZ"/>
              </w:rPr>
            </w:pPr>
            <w:r w:rsidRPr="005F779F">
              <w:rPr>
                <w:sz w:val="20"/>
                <w:szCs w:val="20"/>
                <w:lang w:eastAsia="cs-CZ"/>
              </w:rPr>
              <w:t>Bankovní spojení:</w:t>
            </w:r>
          </w:p>
        </w:tc>
        <w:tc>
          <w:tcPr>
            <w:tcW w:w="6660" w:type="dxa"/>
          </w:tcPr>
          <w:p w14:paraId="1511FE73" w14:textId="024DAFBA" w:rsidR="00BA5B0B" w:rsidRPr="005F779F" w:rsidRDefault="005F779F" w:rsidP="003E2A0C">
            <w:pPr>
              <w:spacing w:after="0" w:line="240" w:lineRule="auto"/>
              <w:jc w:val="both"/>
              <w:rPr>
                <w:sz w:val="20"/>
                <w:szCs w:val="20"/>
                <w:lang w:eastAsia="cs-CZ"/>
              </w:rPr>
            </w:pPr>
            <w:r w:rsidRPr="005F779F">
              <w:rPr>
                <w:sz w:val="20"/>
                <w:szCs w:val="20"/>
                <w:lang w:eastAsia="cs-CZ"/>
              </w:rPr>
              <w:t>Komerční banka, a.s.</w:t>
            </w:r>
          </w:p>
        </w:tc>
      </w:tr>
      <w:tr w:rsidR="00BA5B0B" w:rsidRPr="005F779F" w14:paraId="641F8069" w14:textId="77777777" w:rsidTr="00C07CE2">
        <w:tc>
          <w:tcPr>
            <w:tcW w:w="2552" w:type="dxa"/>
          </w:tcPr>
          <w:p w14:paraId="3E025A2C" w14:textId="77777777" w:rsidR="00BA5B0B" w:rsidRPr="005F779F" w:rsidRDefault="00BA5B0B" w:rsidP="003E2A0C">
            <w:pPr>
              <w:spacing w:after="0" w:line="240" w:lineRule="auto"/>
              <w:jc w:val="both"/>
              <w:rPr>
                <w:sz w:val="20"/>
                <w:szCs w:val="20"/>
                <w:lang w:eastAsia="cs-CZ"/>
              </w:rPr>
            </w:pPr>
            <w:r w:rsidRPr="005F779F">
              <w:rPr>
                <w:sz w:val="20"/>
                <w:szCs w:val="20"/>
                <w:lang w:eastAsia="cs-CZ"/>
              </w:rPr>
              <w:t>Číslo účtu:</w:t>
            </w:r>
          </w:p>
        </w:tc>
        <w:tc>
          <w:tcPr>
            <w:tcW w:w="6660" w:type="dxa"/>
          </w:tcPr>
          <w:p w14:paraId="7B4A1549" w14:textId="29670AF4" w:rsidR="00BA5B0B" w:rsidRPr="005F779F" w:rsidRDefault="005F779F" w:rsidP="003E2A0C">
            <w:pPr>
              <w:spacing w:after="0" w:line="240" w:lineRule="auto"/>
              <w:jc w:val="both"/>
              <w:rPr>
                <w:sz w:val="20"/>
                <w:szCs w:val="20"/>
                <w:lang w:eastAsia="cs-CZ"/>
              </w:rPr>
            </w:pPr>
            <w:r w:rsidRPr="005F779F">
              <w:rPr>
                <w:sz w:val="20"/>
                <w:szCs w:val="20"/>
                <w:lang w:eastAsia="cs-CZ"/>
              </w:rPr>
              <w:t>8305511/0100</w:t>
            </w:r>
          </w:p>
        </w:tc>
      </w:tr>
      <w:tr w:rsidR="00BA5B0B" w:rsidRPr="00D00C78" w14:paraId="15B0FF63" w14:textId="77777777" w:rsidTr="00C07CE2">
        <w:tc>
          <w:tcPr>
            <w:tcW w:w="9212" w:type="dxa"/>
            <w:gridSpan w:val="2"/>
          </w:tcPr>
          <w:p w14:paraId="278E35C1" w14:textId="4B0858A9" w:rsidR="00BA5B0B" w:rsidRPr="005F779F" w:rsidRDefault="00BA5B0B" w:rsidP="003E2A0C">
            <w:pPr>
              <w:spacing w:after="0" w:line="240" w:lineRule="auto"/>
              <w:jc w:val="both"/>
              <w:rPr>
                <w:sz w:val="20"/>
                <w:szCs w:val="20"/>
                <w:lang w:eastAsia="cs-CZ"/>
              </w:rPr>
            </w:pPr>
            <w:r w:rsidRPr="005F779F">
              <w:rPr>
                <w:sz w:val="20"/>
                <w:szCs w:val="20"/>
                <w:lang w:eastAsia="cs-CZ"/>
              </w:rPr>
              <w:t xml:space="preserve">Zapsaná v obchodním rejstříku </w:t>
            </w:r>
            <w:r w:rsidR="005F779F" w:rsidRPr="005F779F">
              <w:rPr>
                <w:sz w:val="20"/>
                <w:szCs w:val="20"/>
                <w:lang w:eastAsia="cs-CZ"/>
              </w:rPr>
              <w:t>Městského</w:t>
            </w:r>
            <w:r w:rsidRPr="005F779F">
              <w:rPr>
                <w:sz w:val="20"/>
                <w:szCs w:val="20"/>
                <w:lang w:eastAsia="cs-CZ"/>
              </w:rPr>
              <w:t xml:space="preserve"> soudu v</w:t>
            </w:r>
            <w:r w:rsidR="005F779F" w:rsidRPr="005F779F">
              <w:rPr>
                <w:sz w:val="20"/>
                <w:szCs w:val="20"/>
                <w:lang w:eastAsia="cs-CZ"/>
              </w:rPr>
              <w:t> Praze,</w:t>
            </w:r>
            <w:r w:rsidRPr="005F779F">
              <w:rPr>
                <w:sz w:val="20"/>
                <w:szCs w:val="20"/>
                <w:lang w:eastAsia="cs-CZ"/>
              </w:rPr>
              <w:t xml:space="preserve"> oddíl </w:t>
            </w:r>
            <w:r w:rsidR="005F779F" w:rsidRPr="005F779F">
              <w:rPr>
                <w:sz w:val="20"/>
                <w:szCs w:val="20"/>
                <w:lang w:eastAsia="cs-CZ"/>
              </w:rPr>
              <w:t>C,</w:t>
            </w:r>
            <w:r w:rsidRPr="005F779F">
              <w:rPr>
                <w:sz w:val="20"/>
                <w:szCs w:val="20"/>
                <w:lang w:eastAsia="cs-CZ"/>
              </w:rPr>
              <w:t xml:space="preserve"> vložka </w:t>
            </w:r>
            <w:r w:rsidR="005F779F" w:rsidRPr="005F779F">
              <w:rPr>
                <w:sz w:val="20"/>
                <w:szCs w:val="20"/>
                <w:lang w:eastAsia="cs-CZ"/>
              </w:rPr>
              <w:t>275265</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Předmět smlouvy</w:t>
      </w:r>
    </w:p>
    <w:p w14:paraId="3AB3121F" w14:textId="22A1D4F8"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5F779F">
        <w:rPr>
          <w:rFonts w:ascii="Verdana" w:hAnsi="Verdana"/>
          <w:b/>
          <w:sz w:val="20"/>
          <w:lang w:eastAsia="cs-CZ"/>
        </w:rPr>
        <w:t xml:space="preserve">Philips </w:t>
      </w:r>
      <w:proofErr w:type="spellStart"/>
      <w:r w:rsidR="005F779F">
        <w:rPr>
          <w:rFonts w:ascii="Verdana" w:hAnsi="Verdana"/>
          <w:b/>
          <w:sz w:val="20"/>
          <w:lang w:eastAsia="cs-CZ"/>
        </w:rPr>
        <w:t>Zenition</w:t>
      </w:r>
      <w:proofErr w:type="spellEnd"/>
      <w:r w:rsidR="005F779F">
        <w:rPr>
          <w:rFonts w:ascii="Verdana" w:hAnsi="Verdana"/>
          <w:b/>
          <w:sz w:val="20"/>
          <w:lang w:eastAsia="cs-CZ"/>
        </w:rPr>
        <w:t xml:space="preserve"> 70Lite FD17</w:t>
      </w:r>
      <w:r w:rsidR="00E83AA1" w:rsidRPr="00310B7E">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506DC10A" w14:textId="695041A2" w:rsidR="005A6546" w:rsidRDefault="00F9148E" w:rsidP="005A6546">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zákonu č. 375/2022 Sb., o zdravotnických prostředcích a diagnostických zdravotnických prostředcích in vitro, ve znění pozdějších předpisů,</w:t>
      </w:r>
      <w:r w:rsidR="006B3795">
        <w:rPr>
          <w:rFonts w:ascii="Verdana" w:hAnsi="Verdana"/>
          <w:sz w:val="20"/>
          <w:lang w:eastAsia="cs-CZ"/>
        </w:rPr>
        <w:t xml:space="preserve"> </w:t>
      </w:r>
      <w:r w:rsidR="006B3795" w:rsidRPr="00310B7E">
        <w:rPr>
          <w:rFonts w:ascii="Verdana" w:hAnsi="Verdana"/>
          <w:sz w:val="20"/>
          <w:lang w:eastAsia="cs-CZ"/>
        </w:rPr>
        <w:t>zákon</w:t>
      </w:r>
      <w:r w:rsidR="006B3795">
        <w:rPr>
          <w:rFonts w:ascii="Verdana" w:hAnsi="Verdana"/>
          <w:sz w:val="20"/>
          <w:lang w:eastAsia="cs-CZ"/>
        </w:rPr>
        <w:t>u</w:t>
      </w:r>
      <w:r w:rsidR="006B3795" w:rsidRPr="00310B7E">
        <w:rPr>
          <w:rFonts w:ascii="Verdana" w:hAnsi="Verdana"/>
          <w:sz w:val="20"/>
          <w:lang w:eastAsia="cs-CZ"/>
        </w:rPr>
        <w:t xml:space="preserve"> </w:t>
      </w:r>
      <w:r w:rsidR="006B3795">
        <w:rPr>
          <w:rFonts w:ascii="Verdana" w:hAnsi="Verdana"/>
          <w:sz w:val="20"/>
          <w:lang w:eastAsia="cs-CZ"/>
        </w:rPr>
        <w:br/>
        <w:t xml:space="preserve">č. </w:t>
      </w:r>
      <w:r w:rsidR="006B3795" w:rsidRPr="00310B7E">
        <w:rPr>
          <w:rFonts w:ascii="Verdana" w:hAnsi="Verdana"/>
          <w:sz w:val="20"/>
          <w:lang w:eastAsia="cs-CZ"/>
        </w:rPr>
        <w:t>263/2016 Sb.</w:t>
      </w:r>
      <w:r w:rsidR="006B3795">
        <w:rPr>
          <w:rFonts w:ascii="Verdana" w:hAnsi="Verdana"/>
          <w:sz w:val="20"/>
          <w:lang w:eastAsia="cs-CZ"/>
        </w:rPr>
        <w:t>, atomový zákon,</w:t>
      </w:r>
      <w:r w:rsidR="00B75055">
        <w:rPr>
          <w:rFonts w:ascii="Verdana" w:hAnsi="Verdana"/>
          <w:sz w:val="20"/>
          <w:lang w:eastAsia="cs-CZ"/>
        </w:rPr>
        <w:t xml:space="preserve"> ve znění pozdějších předpisů,</w:t>
      </w:r>
      <w:r w:rsidR="006B3795">
        <w:rPr>
          <w:rFonts w:ascii="Verdana" w:hAnsi="Verdana"/>
          <w:sz w:val="20"/>
          <w:lang w:eastAsia="cs-CZ"/>
        </w:rPr>
        <w:t xml:space="preserve"> </w:t>
      </w:r>
      <w:r w:rsidR="008943C2">
        <w:rPr>
          <w:rFonts w:ascii="Verdana" w:hAnsi="Verdana"/>
          <w:sz w:val="20"/>
          <w:lang w:eastAsia="cs-CZ"/>
        </w:rPr>
        <w:t>v</w:t>
      </w:r>
      <w:r w:rsidR="006B3795">
        <w:rPr>
          <w:rFonts w:ascii="Verdana" w:hAnsi="Verdana"/>
          <w:sz w:val="20"/>
          <w:lang w:eastAsia="cs-CZ"/>
        </w:rPr>
        <w:t>yhláš</w:t>
      </w:r>
      <w:r w:rsidR="00EF571B">
        <w:rPr>
          <w:rFonts w:ascii="Verdana" w:hAnsi="Verdana"/>
          <w:sz w:val="20"/>
          <w:lang w:eastAsia="cs-CZ"/>
        </w:rPr>
        <w:t>ce</w:t>
      </w:r>
      <w:r w:rsidR="006B3795">
        <w:rPr>
          <w:rFonts w:ascii="Verdana" w:hAnsi="Verdana"/>
          <w:sz w:val="20"/>
          <w:lang w:eastAsia="cs-CZ"/>
        </w:rPr>
        <w:t xml:space="preserve"> </w:t>
      </w:r>
      <w:r w:rsidR="00EF571B">
        <w:rPr>
          <w:rFonts w:ascii="Verdana" w:hAnsi="Verdana"/>
          <w:sz w:val="20"/>
          <w:lang w:eastAsia="cs-CZ"/>
        </w:rPr>
        <w:br/>
      </w:r>
      <w:r w:rsidR="006B3795">
        <w:rPr>
          <w:rFonts w:ascii="Verdana" w:hAnsi="Verdana"/>
          <w:sz w:val="20"/>
          <w:lang w:eastAsia="cs-CZ"/>
        </w:rPr>
        <w:t xml:space="preserve">č. 422/2016 Sb., </w:t>
      </w:r>
      <w:r w:rsidR="006B3795" w:rsidRPr="006B3795">
        <w:rPr>
          <w:rFonts w:ascii="Verdana" w:hAnsi="Verdana"/>
          <w:sz w:val="20"/>
          <w:lang w:eastAsia="cs-CZ"/>
        </w:rPr>
        <w:t>o radiační ochraně a zabezpečení radionuklidového zdroje</w:t>
      </w:r>
      <w:r w:rsidR="006B3795">
        <w:rPr>
          <w:rFonts w:ascii="Verdana" w:hAnsi="Verdana"/>
          <w:sz w:val="20"/>
          <w:lang w:eastAsia="cs-CZ"/>
        </w:rPr>
        <w:t xml:space="preserve"> </w:t>
      </w:r>
      <w:r w:rsidRPr="00310B7E">
        <w:rPr>
          <w:rFonts w:ascii="Verdana" w:hAnsi="Verdana"/>
          <w:sz w:val="20"/>
          <w:lang w:eastAsia="cs-CZ"/>
        </w:rPr>
        <w:t xml:space="preserve">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Prodávající dále prohlašuje, že má veškerá oprávnění, jakož i vybavení, k plnění povinností dle této smlouvy.</w:t>
      </w:r>
    </w:p>
    <w:p w14:paraId="2BD17702" w14:textId="5B4C6913"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t xml:space="preserve">Tato smlouva je uzavírána na základě výběru dodavatele ve veřejné zakázce </w:t>
      </w:r>
      <w:r w:rsidR="00B773CB" w:rsidRPr="00B773CB">
        <w:rPr>
          <w:rFonts w:ascii="Verdana" w:hAnsi="Verdana"/>
          <w:sz w:val="20"/>
          <w:lang w:eastAsia="cs-CZ"/>
        </w:rPr>
        <w:t>na dodávky zadávané v otevřeném řízení v nadlimitním režimu dle</w:t>
      </w:r>
      <w:r w:rsidR="005A6546" w:rsidRPr="005A6546">
        <w:rPr>
          <w:rFonts w:ascii="Verdana" w:hAnsi="Verdana"/>
          <w:sz w:val="20"/>
          <w:lang w:eastAsia="cs-CZ"/>
        </w:rPr>
        <w:t xml:space="preserve"> </w:t>
      </w:r>
      <w:r w:rsidRPr="00310B7E">
        <w:rPr>
          <w:rFonts w:ascii="Verdana" w:hAnsi="Verdana"/>
          <w:sz w:val="20"/>
          <w:lang w:eastAsia="cs-CZ"/>
        </w:rPr>
        <w:t xml:space="preserve">zákona </w:t>
      </w:r>
      <w:r w:rsidR="00B773CB">
        <w:rPr>
          <w:rFonts w:ascii="Verdana" w:hAnsi="Verdana"/>
          <w:sz w:val="20"/>
          <w:lang w:eastAsia="cs-CZ"/>
        </w:rPr>
        <w:br/>
      </w:r>
      <w:r w:rsidRPr="00310B7E">
        <w:rPr>
          <w:rFonts w:ascii="Verdana" w:hAnsi="Verdana"/>
          <w:sz w:val="20"/>
          <w:lang w:eastAsia="cs-CZ"/>
        </w:rPr>
        <w:t>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B773CB" w:rsidRPr="00B773CB">
        <w:rPr>
          <w:rFonts w:ascii="Verdana" w:hAnsi="Verdana"/>
          <w:b/>
          <w:bCs/>
          <w:sz w:val="20"/>
          <w:lang w:eastAsia="cs-CZ"/>
        </w:rPr>
        <w:t>Pojízdný skiaskopický RTG přístroj C-rameno pro bronchoskopická vyšetření</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5A6546" w:rsidRDefault="00BA5B0B" w:rsidP="00BA5B0B">
      <w:pPr>
        <w:pStyle w:val="Nadpis2"/>
        <w:keepNext w:val="0"/>
        <w:spacing w:after="60"/>
        <w:jc w:val="both"/>
        <w:rPr>
          <w:rFonts w:ascii="Verdana" w:hAnsi="Verdana"/>
          <w:sz w:val="20"/>
          <w:lang w:eastAsia="cs-CZ"/>
        </w:rPr>
      </w:pPr>
      <w:r w:rsidRPr="005A6546">
        <w:rPr>
          <w:rFonts w:ascii="Verdana" w:hAnsi="Verdana"/>
          <w:sz w:val="20"/>
          <w:lang w:eastAsia="cs-CZ"/>
        </w:rPr>
        <w:t xml:space="preserve">V případě plnění části předmětu této smlouvy prostřednictvím poddodavatelů, je přílohou č. </w:t>
      </w:r>
      <w:r w:rsidR="00EB223B" w:rsidRPr="005A6546">
        <w:rPr>
          <w:rFonts w:ascii="Verdana" w:hAnsi="Verdana"/>
          <w:sz w:val="20"/>
          <w:lang w:eastAsia="cs-CZ"/>
        </w:rPr>
        <w:t>2</w:t>
      </w:r>
      <w:r w:rsidRPr="005A6546">
        <w:rPr>
          <w:rFonts w:ascii="Verdana" w:hAnsi="Verdana"/>
          <w:sz w:val="20"/>
          <w:lang w:eastAsia="cs-CZ"/>
        </w:rPr>
        <w:t xml:space="preserve"> této smlouvy seznam poddodavatelů.</w:t>
      </w:r>
    </w:p>
    <w:p w14:paraId="5E6C2F2E"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Doba, místo a způsob dodání</w:t>
      </w:r>
    </w:p>
    <w:p w14:paraId="775ACDF3" w14:textId="3A510584" w:rsidR="00BA5B0B" w:rsidRPr="007C2020" w:rsidRDefault="00BA5B0B" w:rsidP="00EB223B">
      <w:pPr>
        <w:pStyle w:val="Nadpis2"/>
        <w:keepNext w:val="0"/>
        <w:tabs>
          <w:tab w:val="clear" w:pos="576"/>
          <w:tab w:val="num" w:pos="567"/>
        </w:tabs>
        <w:spacing w:after="60"/>
        <w:jc w:val="both"/>
        <w:rPr>
          <w:rFonts w:ascii="Verdana" w:hAnsi="Verdana"/>
          <w:sz w:val="20"/>
          <w:lang w:eastAsia="cs-CZ"/>
        </w:rPr>
      </w:pPr>
      <w:r w:rsidRPr="007C2020">
        <w:rPr>
          <w:rFonts w:ascii="Verdana" w:hAnsi="Verdana"/>
          <w:sz w:val="20"/>
          <w:lang w:eastAsia="cs-CZ"/>
        </w:rPr>
        <w:t xml:space="preserve">Prodávající se zavazuje dodat zařízení nejpozději do </w:t>
      </w:r>
      <w:r w:rsidR="007C2020" w:rsidRPr="007C2020">
        <w:rPr>
          <w:rFonts w:ascii="Verdana" w:hAnsi="Verdana"/>
          <w:b/>
          <w:sz w:val="20"/>
          <w:lang w:eastAsia="cs-CZ"/>
        </w:rPr>
        <w:t>16 týdnů</w:t>
      </w:r>
      <w:r w:rsidRPr="007C2020">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455F1136" w:rsidR="00BA5B0B" w:rsidRPr="007C2020" w:rsidRDefault="00BA5B0B" w:rsidP="00BA5B0B">
      <w:pPr>
        <w:pStyle w:val="Nadpis2"/>
        <w:keepNext w:val="0"/>
        <w:tabs>
          <w:tab w:val="clear" w:pos="576"/>
          <w:tab w:val="num" w:pos="567"/>
        </w:tabs>
        <w:spacing w:after="60"/>
        <w:jc w:val="both"/>
        <w:rPr>
          <w:rFonts w:ascii="Verdana" w:hAnsi="Verdana"/>
          <w:sz w:val="20"/>
          <w:lang w:eastAsia="cs-CZ"/>
        </w:rPr>
      </w:pPr>
      <w:r w:rsidRPr="007C2020">
        <w:rPr>
          <w:rFonts w:ascii="Verdana" w:hAnsi="Verdana"/>
          <w:sz w:val="20"/>
          <w:lang w:eastAsia="cs-CZ"/>
        </w:rPr>
        <w:t xml:space="preserve">Místem dodání zařízení je sídlo kupujícího, konkrétně </w:t>
      </w:r>
      <w:r w:rsidR="00B773CB" w:rsidRPr="007C2020">
        <w:rPr>
          <w:rFonts w:ascii="Verdana" w:hAnsi="Verdana"/>
          <w:b/>
          <w:sz w:val="20"/>
          <w:lang w:eastAsia="cs-CZ"/>
        </w:rPr>
        <w:t xml:space="preserve">Plicní </w:t>
      </w:r>
      <w:r w:rsidR="005A6546" w:rsidRPr="007C2020">
        <w:rPr>
          <w:rFonts w:ascii="Verdana" w:hAnsi="Verdana"/>
          <w:b/>
          <w:sz w:val="20"/>
          <w:lang w:eastAsia="cs-CZ"/>
        </w:rPr>
        <w:t>oddělení</w:t>
      </w:r>
      <w:r w:rsidRPr="007C2020">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36151441" w14:textId="31BE4812" w:rsidR="006F2C33" w:rsidRDefault="005E37B1" w:rsidP="006F2C33">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příslušná dokumentace dle zákona č. 375/2022 Sb., o zdravotnických prostředcích a diagnostických zdravotnických prostředcích in vitro, případně doklady dle zákona </w:t>
      </w:r>
      <w:r w:rsidR="006B3795">
        <w:rPr>
          <w:rFonts w:ascii="Verdana" w:hAnsi="Verdana"/>
          <w:sz w:val="20"/>
          <w:lang w:eastAsia="cs-CZ"/>
        </w:rPr>
        <w:t xml:space="preserve">č. </w:t>
      </w:r>
      <w:r w:rsidRPr="00310B7E">
        <w:rPr>
          <w:rFonts w:ascii="Verdana" w:hAnsi="Verdana"/>
          <w:sz w:val="20"/>
          <w:lang w:eastAsia="cs-CZ"/>
        </w:rPr>
        <w:t>263/2016 Sb., pokud jsou tyto doklady pro provoz nezbytné.</w:t>
      </w:r>
    </w:p>
    <w:p w14:paraId="7D1E2C6C" w14:textId="6A89E5D5" w:rsidR="006F2C33" w:rsidRPr="006F2C33" w:rsidRDefault="006B3795" w:rsidP="006F2C33">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6B3795">
        <w:rPr>
          <w:rFonts w:ascii="Verdana" w:hAnsi="Verdana"/>
          <w:sz w:val="20"/>
          <w:lang w:eastAsia="cs-CZ"/>
        </w:rPr>
        <w:t>protokol o přejímací zkoušce a protokoly o zkouškách dlouhodobé stability</w:t>
      </w:r>
      <w:r>
        <w:rPr>
          <w:rFonts w:ascii="Verdana" w:hAnsi="Verdana"/>
          <w:sz w:val="20"/>
          <w:lang w:eastAsia="cs-CZ"/>
        </w:rPr>
        <w:t xml:space="preserve"> dle </w:t>
      </w:r>
      <w:r>
        <w:rPr>
          <w:rFonts w:ascii="Verdana" w:hAnsi="Verdana"/>
          <w:sz w:val="20"/>
          <w:lang w:eastAsia="cs-CZ"/>
        </w:rPr>
        <w:br/>
        <w:t xml:space="preserve">§ 38 vyhlášky č. 422/2016 Sb., </w:t>
      </w:r>
      <w:r w:rsidRPr="006B3795">
        <w:rPr>
          <w:rFonts w:ascii="Verdana" w:hAnsi="Verdana"/>
          <w:sz w:val="20"/>
          <w:lang w:eastAsia="cs-CZ"/>
        </w:rPr>
        <w:t>o radiační ochraně a zabezpečení radionuklidového zdroje</w:t>
      </w:r>
      <w:r w:rsidR="006F2C33">
        <w:rPr>
          <w:rFonts w:ascii="Verdana" w:hAnsi="Verdana"/>
          <w:sz w:val="20"/>
          <w:lang w:eastAsia="cs-CZ"/>
        </w:rPr>
        <w:t>.</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lastRenderedPageBreak/>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55ED2E76" w14:textId="4C59C7B7" w:rsidR="006F2C33" w:rsidRDefault="00DA14A2" w:rsidP="006F2C33">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zajištění servisu osobou splňující podmínky zákona č. 375/2022 Sb., o zdravotnických prostředcích a diagnostických zdravotnických prostředcích in vitro, v platném znění.</w:t>
      </w:r>
    </w:p>
    <w:p w14:paraId="10C081B9" w14:textId="77777777"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5AF20061" w14:textId="77777777" w:rsidR="00B773CB" w:rsidRPr="00310B7E" w:rsidRDefault="00B773CB" w:rsidP="00B773C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převzetí a dohledu při instalaci zařízení</w:t>
      </w:r>
      <w:r w:rsidRPr="00310B7E">
        <w:rPr>
          <w:rFonts w:ascii="Verdana" w:hAnsi="Verdana"/>
          <w:sz w:val="20"/>
          <w:lang w:eastAsia="cs-CZ"/>
        </w:rPr>
        <w:t xml:space="preserve"> na straně kupujícího je:</w:t>
      </w:r>
    </w:p>
    <w:p w14:paraId="1105699A" w14:textId="78BAA698" w:rsidR="00B773CB" w:rsidRPr="00310B7E" w:rsidRDefault="00B773CB" w:rsidP="00B773C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17B0F3B1" w14:textId="6EDEE9C2" w:rsidR="00B773CB" w:rsidRPr="00310B7E" w:rsidRDefault="00B773CB" w:rsidP="00B773C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1F97B0B" w14:textId="736117E7" w:rsidR="00B773CB" w:rsidRPr="00B773CB" w:rsidRDefault="00B773CB" w:rsidP="00B773C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E879C9">
      <w:pPr>
        <w:pStyle w:val="Nadpis1"/>
        <w:keepNext w:val="0"/>
        <w:keepLines w:val="0"/>
        <w:spacing w:after="120"/>
        <w:rPr>
          <w:rFonts w:ascii="Verdana" w:hAnsi="Verdana"/>
          <w:sz w:val="20"/>
        </w:rPr>
      </w:pPr>
      <w:r w:rsidRPr="00310B7E">
        <w:rPr>
          <w:rFonts w:ascii="Verdana" w:hAnsi="Verdana"/>
          <w:sz w:val="20"/>
        </w:rPr>
        <w:t>Kupní cena a platební podmínky</w:t>
      </w:r>
    </w:p>
    <w:p w14:paraId="041691CA" w14:textId="606AA5C5"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 xml:space="preserve">Celková kupní cena zařízení činí </w:t>
      </w:r>
      <w:r w:rsidR="005F779F">
        <w:rPr>
          <w:rFonts w:ascii="Verdana" w:hAnsi="Verdana"/>
          <w:b/>
          <w:sz w:val="20"/>
          <w:lang w:eastAsia="cs-CZ"/>
        </w:rPr>
        <w:t>2.800.000,-</w:t>
      </w:r>
      <w:r w:rsidRPr="00310B7E">
        <w:rPr>
          <w:rFonts w:ascii="Verdana" w:hAnsi="Verdana"/>
          <w:b/>
          <w:sz w:val="20"/>
          <w:lang w:eastAsia="cs-CZ"/>
        </w:rPr>
        <w:t xml:space="preserve"> Kč bez DPH</w:t>
      </w:r>
      <w:r w:rsidRPr="00310B7E">
        <w:rPr>
          <w:rFonts w:ascii="Verdana" w:hAnsi="Verdana"/>
          <w:sz w:val="20"/>
          <w:lang w:eastAsia="cs-CZ"/>
        </w:rPr>
        <w:t xml:space="preserve">, DPH </w:t>
      </w:r>
      <w:r w:rsidR="005F779F">
        <w:rPr>
          <w:rFonts w:ascii="Verdana" w:hAnsi="Verdana"/>
          <w:sz w:val="20"/>
          <w:lang w:eastAsia="cs-CZ"/>
        </w:rPr>
        <w:t>21</w:t>
      </w:r>
      <w:r w:rsidRPr="00310B7E">
        <w:rPr>
          <w:rFonts w:ascii="Verdana" w:hAnsi="Verdana"/>
          <w:sz w:val="20"/>
          <w:lang w:eastAsia="cs-CZ"/>
        </w:rPr>
        <w:t xml:space="preserve"> % je </w:t>
      </w:r>
      <w:r w:rsidR="005F779F">
        <w:rPr>
          <w:rFonts w:ascii="Verdana" w:hAnsi="Verdana"/>
          <w:sz w:val="20"/>
          <w:lang w:eastAsia="cs-CZ"/>
        </w:rPr>
        <w:t>588.000,-</w:t>
      </w:r>
      <w:r w:rsidRPr="00310B7E">
        <w:rPr>
          <w:rFonts w:ascii="Verdana" w:hAnsi="Verdana"/>
          <w:sz w:val="20"/>
          <w:lang w:eastAsia="cs-CZ"/>
        </w:rPr>
        <w:t xml:space="preserve"> Kč, kupní cena vč. DPH činí </w:t>
      </w:r>
      <w:r w:rsidR="005F779F">
        <w:rPr>
          <w:rFonts w:ascii="Verdana" w:hAnsi="Verdana"/>
          <w:sz w:val="20"/>
          <w:lang w:eastAsia="cs-CZ"/>
        </w:rPr>
        <w:t>3.388.000,-</w:t>
      </w:r>
      <w:r w:rsidRPr="00310B7E">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Úhrada kupní ceny bude kupujícím provedena bezhotovostním převodem nebo vkladem na účet prodávajícího uvedený v záhlaví této smlouvy, a to na základě </w:t>
      </w:r>
      <w:r w:rsidRPr="00310B7E">
        <w:rPr>
          <w:rFonts w:ascii="Verdana" w:hAnsi="Verdana"/>
          <w:sz w:val="20"/>
          <w:lang w:eastAsia="cs-CZ"/>
        </w:rPr>
        <w:lastRenderedPageBreak/>
        <w:t>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03755E">
        <w:rPr>
          <w:rFonts w:ascii="Verdana" w:hAnsi="Verdana"/>
          <w:sz w:val="20"/>
          <w:lang w:eastAsia="cs-CZ"/>
        </w:rPr>
        <w:t xml:space="preserve">Na dodané zařízení poskytuje prodávající záruku za jakost v délce </w:t>
      </w:r>
      <w:r w:rsidRPr="0003755E">
        <w:rPr>
          <w:rFonts w:ascii="Verdana" w:hAnsi="Verdana"/>
          <w:b/>
          <w:sz w:val="20"/>
          <w:lang w:eastAsia="cs-CZ"/>
        </w:rPr>
        <w:t>24 měsíců</w:t>
      </w:r>
      <w:r w:rsidRPr="0003755E">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528E6F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Servis</w:t>
      </w:r>
    </w:p>
    <w:p w14:paraId="28ACB22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043A408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49CB53A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Cena za provádění mimozáručního servisu není zahrnuta v ceně zařízení a bude hrazena kupujícím samostatně. Splatnost faktur za provádění mimozáručního servisu zařízení je do 30 dnů od jejího doručení kupujícímu.</w:t>
      </w:r>
    </w:p>
    <w:p w14:paraId="18547C11"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713E4F4B"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563959FE"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77BE2FB6"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1C0E9D88" w:rsidR="00BA5B0B" w:rsidRPr="005F779F" w:rsidRDefault="00BA5B0B" w:rsidP="00BA5B0B">
      <w:pPr>
        <w:pStyle w:val="Nadpis2"/>
        <w:keepNext w:val="0"/>
        <w:numPr>
          <w:ilvl w:val="0"/>
          <w:numId w:val="0"/>
        </w:numPr>
        <w:spacing w:after="60"/>
        <w:ind w:left="567"/>
        <w:jc w:val="both"/>
        <w:rPr>
          <w:rFonts w:ascii="Verdana" w:hAnsi="Verdana"/>
          <w:sz w:val="20"/>
          <w:lang w:eastAsia="cs-CZ"/>
        </w:rPr>
      </w:pPr>
      <w:r w:rsidRPr="005F779F">
        <w:rPr>
          <w:rFonts w:ascii="Verdana" w:hAnsi="Verdana"/>
          <w:sz w:val="20"/>
          <w:lang w:eastAsia="cs-CZ"/>
        </w:rPr>
        <w:t>Jméno a příjmení:</w:t>
      </w:r>
      <w:r w:rsidRPr="005F779F">
        <w:rPr>
          <w:rFonts w:ascii="Verdana" w:hAnsi="Verdana"/>
          <w:sz w:val="20"/>
          <w:lang w:eastAsia="cs-CZ"/>
        </w:rPr>
        <w:tab/>
      </w:r>
    </w:p>
    <w:p w14:paraId="0046D72E" w14:textId="3428CB5E" w:rsidR="00BA5B0B" w:rsidRPr="005F779F" w:rsidRDefault="00BA5B0B" w:rsidP="00BA5B0B">
      <w:pPr>
        <w:pStyle w:val="Nadpis2"/>
        <w:keepNext w:val="0"/>
        <w:numPr>
          <w:ilvl w:val="0"/>
          <w:numId w:val="0"/>
        </w:numPr>
        <w:spacing w:after="60"/>
        <w:ind w:left="567"/>
        <w:jc w:val="both"/>
        <w:rPr>
          <w:rFonts w:ascii="Verdana" w:hAnsi="Verdana"/>
          <w:sz w:val="20"/>
          <w:lang w:eastAsia="cs-CZ"/>
        </w:rPr>
      </w:pPr>
      <w:r w:rsidRPr="005F779F">
        <w:rPr>
          <w:rFonts w:ascii="Verdana" w:hAnsi="Verdana"/>
          <w:sz w:val="20"/>
          <w:lang w:eastAsia="cs-CZ"/>
        </w:rPr>
        <w:t>tel:</w:t>
      </w:r>
      <w:r w:rsidRPr="005F779F">
        <w:rPr>
          <w:rFonts w:ascii="Verdana" w:hAnsi="Verdana"/>
          <w:sz w:val="20"/>
          <w:lang w:eastAsia="cs-CZ"/>
        </w:rPr>
        <w:tab/>
      </w:r>
      <w:r w:rsidRPr="005F779F">
        <w:rPr>
          <w:rFonts w:ascii="Verdana" w:hAnsi="Verdana"/>
          <w:sz w:val="20"/>
          <w:lang w:eastAsia="cs-CZ"/>
        </w:rPr>
        <w:tab/>
      </w:r>
      <w:r w:rsidRPr="005F779F">
        <w:rPr>
          <w:rFonts w:ascii="Verdana" w:hAnsi="Verdana"/>
          <w:sz w:val="20"/>
          <w:lang w:eastAsia="cs-CZ"/>
        </w:rPr>
        <w:tab/>
      </w:r>
    </w:p>
    <w:p w14:paraId="38B9A76C" w14:textId="2B95FD72" w:rsidR="00BA5B0B" w:rsidRPr="005F779F" w:rsidRDefault="00BA5B0B" w:rsidP="00BA5B0B">
      <w:pPr>
        <w:pStyle w:val="Nadpis2"/>
        <w:keepNext w:val="0"/>
        <w:numPr>
          <w:ilvl w:val="0"/>
          <w:numId w:val="0"/>
        </w:numPr>
        <w:spacing w:after="60"/>
        <w:ind w:left="567"/>
        <w:jc w:val="both"/>
        <w:rPr>
          <w:rFonts w:ascii="Verdana" w:hAnsi="Verdana"/>
          <w:sz w:val="20"/>
          <w:lang w:eastAsia="cs-CZ"/>
        </w:rPr>
      </w:pPr>
      <w:r w:rsidRPr="005F779F">
        <w:rPr>
          <w:rFonts w:ascii="Verdana" w:hAnsi="Verdana"/>
          <w:sz w:val="20"/>
          <w:lang w:eastAsia="cs-CZ"/>
        </w:rPr>
        <w:t>email:</w:t>
      </w:r>
      <w:r w:rsidRPr="005F779F">
        <w:rPr>
          <w:rFonts w:ascii="Verdana" w:hAnsi="Verdana"/>
          <w:sz w:val="20"/>
          <w:lang w:eastAsia="cs-CZ"/>
        </w:rPr>
        <w:tab/>
      </w:r>
      <w:r w:rsidRPr="005F779F">
        <w:rPr>
          <w:rFonts w:ascii="Verdana" w:hAnsi="Verdana"/>
          <w:sz w:val="20"/>
          <w:lang w:eastAsia="cs-CZ"/>
        </w:rPr>
        <w:tab/>
      </w:r>
      <w:r w:rsidRPr="005F779F">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5F779F">
        <w:rPr>
          <w:rFonts w:ascii="Verdana" w:hAnsi="Verdana"/>
          <w:sz w:val="20"/>
          <w:lang w:eastAsia="cs-CZ"/>
        </w:rPr>
        <w:t>Ke změně údajů o kontaktních osobách postačí písemné oznámení doručené druhé</w:t>
      </w:r>
      <w:r w:rsidRPr="00310B7E">
        <w:rPr>
          <w:rFonts w:ascii="Verdana" w:hAnsi="Verdana"/>
          <w:sz w:val="20"/>
          <w:lang w:eastAsia="cs-CZ"/>
        </w:rPr>
        <w:t xml:space="preserve">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1F8A7105" w14:textId="46F2DAFD" w:rsidR="00B773CB" w:rsidRPr="00B773CB" w:rsidRDefault="00BA5B0B" w:rsidP="00695E9E">
      <w:pPr>
        <w:pStyle w:val="Nadpis2"/>
        <w:keepNext w:val="0"/>
        <w:spacing w:after="60"/>
        <w:jc w:val="both"/>
        <w:rPr>
          <w:lang w:eastAsia="cs-CZ"/>
        </w:rPr>
      </w:pPr>
      <w:r w:rsidRPr="00310B7E">
        <w:rPr>
          <w:rFonts w:ascii="Verdana" w:hAnsi="Verdana"/>
          <w:sz w:val="20"/>
          <w:lang w:eastAsia="cs-CZ"/>
        </w:rPr>
        <w:t xml:space="preserve">Prodávající bere na vědomí, že se podpisem této smlouvy stává, v souladu s ustanovením § 2 písm. e) zákona č. 320/2001 Sb., o finanční kontrole ve veřejné správě a o změně některých zákonů, ve znění pozdějších předpisů, osobou povinnou </w:t>
      </w:r>
      <w:r w:rsidRPr="00310B7E">
        <w:rPr>
          <w:rFonts w:ascii="Verdana" w:hAnsi="Verdana"/>
          <w:sz w:val="20"/>
          <w:lang w:eastAsia="cs-CZ"/>
        </w:rPr>
        <w:lastRenderedPageBreak/>
        <w:t>spolupůsobit při výkonu finanční kontroly prováděné v souvislosti s úhradou zařízení nebo služeb z veřejných výdajů nebo z veřejné finanční podpory.</w:t>
      </w:r>
    </w:p>
    <w:p w14:paraId="4DE6F2D5"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03755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03755E">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310B7E" w14:paraId="1E3038EF" w14:textId="77777777" w:rsidTr="00C07CE2">
        <w:trPr>
          <w:jc w:val="center"/>
        </w:trPr>
        <w:tc>
          <w:tcPr>
            <w:tcW w:w="4535" w:type="dxa"/>
          </w:tcPr>
          <w:p w14:paraId="3D15B90B" w14:textId="6B5CF2E8" w:rsidR="00BA5B0B" w:rsidRPr="00310B7E" w:rsidRDefault="00BA5B0B" w:rsidP="003E2A0C">
            <w:pPr>
              <w:spacing w:after="0" w:line="240" w:lineRule="auto"/>
              <w:rPr>
                <w:sz w:val="20"/>
                <w:szCs w:val="20"/>
                <w:lang w:eastAsia="cs-CZ"/>
              </w:rPr>
            </w:pPr>
            <w:r w:rsidRPr="00310B7E">
              <w:rPr>
                <w:sz w:val="20"/>
                <w:szCs w:val="20"/>
                <w:lang w:eastAsia="cs-CZ"/>
              </w:rPr>
              <w:t>V </w:t>
            </w:r>
            <w:r w:rsidR="005F779F">
              <w:rPr>
                <w:sz w:val="20"/>
                <w:szCs w:val="20"/>
                <w:lang w:eastAsia="cs-CZ"/>
              </w:rPr>
              <w:t>Praze</w:t>
            </w:r>
            <w:r w:rsidRPr="00310B7E">
              <w:rPr>
                <w:sz w:val="20"/>
                <w:szCs w:val="20"/>
                <w:lang w:eastAsia="cs-CZ"/>
              </w:rPr>
              <w:t xml:space="preserve"> dne </w:t>
            </w:r>
            <w:r w:rsidR="005F779F" w:rsidRPr="0003755E">
              <w:rPr>
                <w:sz w:val="20"/>
                <w:szCs w:val="20"/>
                <w:lang w:eastAsia="cs-CZ"/>
              </w:rPr>
              <w:t>________________</w:t>
            </w:r>
          </w:p>
        </w:tc>
        <w:tc>
          <w:tcPr>
            <w:tcW w:w="4535" w:type="dxa"/>
          </w:tcPr>
          <w:p w14:paraId="0568BD3B" w14:textId="77777777" w:rsidR="00BA5B0B" w:rsidRPr="00310B7E" w:rsidRDefault="00BA5B0B" w:rsidP="003E2A0C">
            <w:pPr>
              <w:spacing w:after="0" w:line="240" w:lineRule="auto"/>
              <w:rPr>
                <w:sz w:val="20"/>
                <w:szCs w:val="20"/>
                <w:lang w:eastAsia="cs-CZ"/>
              </w:rPr>
            </w:pPr>
            <w:r w:rsidRPr="00310B7E">
              <w:rPr>
                <w:sz w:val="20"/>
                <w:szCs w:val="20"/>
                <w:lang w:eastAsia="cs-CZ"/>
              </w:rPr>
              <w:t xml:space="preserve">V Mladé Boleslavi dne </w:t>
            </w:r>
            <w:r w:rsidRPr="0003755E">
              <w:rPr>
                <w:sz w:val="20"/>
                <w:szCs w:val="20"/>
                <w:lang w:eastAsia="cs-CZ"/>
              </w:rPr>
              <w:t>________________</w:t>
            </w:r>
          </w:p>
        </w:tc>
      </w:tr>
      <w:tr w:rsidR="00BA5B0B" w:rsidRPr="00310B7E" w14:paraId="4F7138A5" w14:textId="77777777" w:rsidTr="00C07CE2">
        <w:trPr>
          <w:trHeight w:val="120"/>
          <w:jc w:val="center"/>
        </w:trPr>
        <w:tc>
          <w:tcPr>
            <w:tcW w:w="4535" w:type="dxa"/>
          </w:tcPr>
          <w:p w14:paraId="3B04DAA7" w14:textId="77777777" w:rsidR="00BA5B0B" w:rsidRPr="00310B7E" w:rsidRDefault="00BA5B0B" w:rsidP="003E2A0C">
            <w:pPr>
              <w:spacing w:after="0" w:line="240" w:lineRule="auto"/>
              <w:jc w:val="center"/>
              <w:rPr>
                <w:sz w:val="20"/>
                <w:szCs w:val="20"/>
                <w:lang w:eastAsia="cs-CZ"/>
              </w:rPr>
            </w:pPr>
          </w:p>
          <w:p w14:paraId="44450A7D" w14:textId="77777777" w:rsidR="00BA5B0B" w:rsidRPr="00310B7E" w:rsidRDefault="00BA5B0B" w:rsidP="003E2A0C">
            <w:pPr>
              <w:spacing w:after="0" w:line="240" w:lineRule="auto"/>
              <w:jc w:val="center"/>
              <w:rPr>
                <w:sz w:val="20"/>
                <w:szCs w:val="20"/>
                <w:lang w:eastAsia="cs-CZ"/>
              </w:rPr>
            </w:pPr>
          </w:p>
          <w:p w14:paraId="7CC6D600" w14:textId="77777777" w:rsidR="00AE6EE7" w:rsidRPr="00310B7E" w:rsidRDefault="00AE6EE7" w:rsidP="00AA032B">
            <w:pPr>
              <w:spacing w:after="0" w:line="240" w:lineRule="auto"/>
              <w:rPr>
                <w:sz w:val="20"/>
                <w:szCs w:val="20"/>
                <w:lang w:eastAsia="cs-CZ"/>
              </w:rPr>
            </w:pPr>
          </w:p>
          <w:p w14:paraId="1A3CA272"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66173D8D" w14:textId="77777777" w:rsidR="00BA5B0B" w:rsidRDefault="005F779F" w:rsidP="003E2A0C">
            <w:pPr>
              <w:spacing w:after="0" w:line="240" w:lineRule="auto"/>
              <w:jc w:val="center"/>
              <w:rPr>
                <w:b/>
                <w:sz w:val="20"/>
                <w:szCs w:val="20"/>
                <w:lang w:eastAsia="cs-CZ"/>
              </w:rPr>
            </w:pPr>
            <w:r>
              <w:rPr>
                <w:b/>
                <w:sz w:val="20"/>
                <w:szCs w:val="20"/>
                <w:lang w:eastAsia="cs-CZ"/>
              </w:rPr>
              <w:t>FOMEI s.r.o.</w:t>
            </w:r>
          </w:p>
          <w:p w14:paraId="14E19050" w14:textId="77777777" w:rsidR="005F779F" w:rsidRPr="005F779F" w:rsidRDefault="005F779F" w:rsidP="003E2A0C">
            <w:pPr>
              <w:spacing w:after="0" w:line="240" w:lineRule="auto"/>
              <w:jc w:val="center"/>
              <w:rPr>
                <w:bCs/>
                <w:sz w:val="20"/>
                <w:szCs w:val="20"/>
                <w:lang w:eastAsia="cs-CZ"/>
              </w:rPr>
            </w:pPr>
            <w:r w:rsidRPr="005F779F">
              <w:rPr>
                <w:bCs/>
                <w:sz w:val="20"/>
                <w:szCs w:val="20"/>
                <w:lang w:eastAsia="cs-CZ"/>
              </w:rPr>
              <w:t>Jaroslav Faltus</w:t>
            </w:r>
          </w:p>
          <w:p w14:paraId="2330B45A" w14:textId="755AF710" w:rsidR="005F779F" w:rsidRPr="00310B7E" w:rsidRDefault="005F779F" w:rsidP="003E2A0C">
            <w:pPr>
              <w:spacing w:after="0" w:line="240" w:lineRule="auto"/>
              <w:jc w:val="center"/>
              <w:rPr>
                <w:b/>
                <w:sz w:val="20"/>
                <w:szCs w:val="20"/>
                <w:lang w:eastAsia="cs-CZ"/>
              </w:rPr>
            </w:pPr>
            <w:r w:rsidRPr="005F779F">
              <w:rPr>
                <w:bCs/>
                <w:sz w:val="20"/>
                <w:szCs w:val="20"/>
                <w:lang w:eastAsia="cs-CZ"/>
              </w:rPr>
              <w:t>prokurista</w:t>
            </w:r>
          </w:p>
        </w:tc>
        <w:tc>
          <w:tcPr>
            <w:tcW w:w="4535" w:type="dxa"/>
          </w:tcPr>
          <w:p w14:paraId="1E83985F" w14:textId="77777777" w:rsidR="00BA5B0B" w:rsidRPr="00310B7E" w:rsidRDefault="00BA5B0B" w:rsidP="003E2A0C">
            <w:pPr>
              <w:spacing w:after="0" w:line="240" w:lineRule="auto"/>
              <w:jc w:val="center"/>
              <w:rPr>
                <w:sz w:val="20"/>
                <w:szCs w:val="20"/>
                <w:lang w:eastAsia="cs-CZ"/>
              </w:rPr>
            </w:pPr>
          </w:p>
          <w:p w14:paraId="23770BD1" w14:textId="77777777" w:rsidR="00BA5B0B" w:rsidRPr="00310B7E" w:rsidRDefault="00BA5B0B" w:rsidP="00AA032B">
            <w:pPr>
              <w:spacing w:after="0" w:line="240" w:lineRule="auto"/>
              <w:rPr>
                <w:sz w:val="20"/>
                <w:szCs w:val="20"/>
                <w:lang w:eastAsia="cs-CZ"/>
              </w:rPr>
            </w:pPr>
          </w:p>
          <w:p w14:paraId="1658DFC2" w14:textId="77777777" w:rsidR="00C07CE2" w:rsidRPr="00310B7E" w:rsidRDefault="00C07CE2" w:rsidP="003E2A0C">
            <w:pPr>
              <w:spacing w:after="0" w:line="240" w:lineRule="auto"/>
              <w:jc w:val="center"/>
              <w:rPr>
                <w:sz w:val="20"/>
                <w:szCs w:val="20"/>
                <w:lang w:eastAsia="cs-CZ"/>
              </w:rPr>
            </w:pPr>
          </w:p>
          <w:p w14:paraId="290D1749"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7643147F"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6764932"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AA032B">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4A09" w14:textId="77777777" w:rsidR="00C933C8" w:rsidRDefault="00C933C8">
      <w:pPr>
        <w:spacing w:after="0" w:line="240" w:lineRule="auto"/>
      </w:pPr>
      <w:r>
        <w:separator/>
      </w:r>
    </w:p>
  </w:endnote>
  <w:endnote w:type="continuationSeparator" w:id="0">
    <w:p w14:paraId="534F561A" w14:textId="77777777" w:rsidR="00C933C8" w:rsidRDefault="00C9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711F1"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A3FB7" w14:textId="77777777" w:rsidR="00C933C8" w:rsidRDefault="00C933C8">
      <w:pPr>
        <w:spacing w:after="0" w:line="240" w:lineRule="auto"/>
      </w:pPr>
      <w:r>
        <w:separator/>
      </w:r>
    </w:p>
  </w:footnote>
  <w:footnote w:type="continuationSeparator" w:id="0">
    <w:p w14:paraId="0AD04C29" w14:textId="77777777" w:rsidR="00C933C8" w:rsidRDefault="00C93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927"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69208829">
    <w:abstractNumId w:val="2"/>
  </w:num>
  <w:num w:numId="2" w16cid:durableId="559441977">
    <w:abstractNumId w:val="0"/>
  </w:num>
  <w:num w:numId="3" w16cid:durableId="894245418">
    <w:abstractNumId w:val="3"/>
  </w:num>
  <w:num w:numId="4" w16cid:durableId="2114399975">
    <w:abstractNumId w:val="1"/>
  </w:num>
  <w:num w:numId="5" w16cid:durableId="1040860858">
    <w:abstractNumId w:val="2"/>
  </w:num>
  <w:num w:numId="6" w16cid:durableId="1385105987">
    <w:abstractNumId w:val="2"/>
  </w:num>
  <w:num w:numId="7" w16cid:durableId="633678641">
    <w:abstractNumId w:val="2"/>
  </w:num>
  <w:num w:numId="8" w16cid:durableId="1470325418">
    <w:abstractNumId w:val="2"/>
  </w:num>
  <w:num w:numId="9" w16cid:durableId="867255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3755E"/>
    <w:rsid w:val="000A145F"/>
    <w:rsid w:val="000C170A"/>
    <w:rsid w:val="00126B86"/>
    <w:rsid w:val="0016399E"/>
    <w:rsid w:val="001A1422"/>
    <w:rsid w:val="001A59F8"/>
    <w:rsid w:val="001C0F26"/>
    <w:rsid w:val="001C5274"/>
    <w:rsid w:val="00205A65"/>
    <w:rsid w:val="002251A6"/>
    <w:rsid w:val="00242559"/>
    <w:rsid w:val="00255D78"/>
    <w:rsid w:val="00275C2F"/>
    <w:rsid w:val="002F21CC"/>
    <w:rsid w:val="00310B7E"/>
    <w:rsid w:val="0032449A"/>
    <w:rsid w:val="003532D7"/>
    <w:rsid w:val="0038078B"/>
    <w:rsid w:val="003956C2"/>
    <w:rsid w:val="004034E4"/>
    <w:rsid w:val="0047576C"/>
    <w:rsid w:val="004C52E0"/>
    <w:rsid w:val="005375CD"/>
    <w:rsid w:val="005512BC"/>
    <w:rsid w:val="005A6546"/>
    <w:rsid w:val="005E37B1"/>
    <w:rsid w:val="005F779F"/>
    <w:rsid w:val="0060388C"/>
    <w:rsid w:val="00670EF8"/>
    <w:rsid w:val="00673ED8"/>
    <w:rsid w:val="00695E9E"/>
    <w:rsid w:val="006B3795"/>
    <w:rsid w:val="006B5123"/>
    <w:rsid w:val="006F2C33"/>
    <w:rsid w:val="007168B7"/>
    <w:rsid w:val="00717DB3"/>
    <w:rsid w:val="00742088"/>
    <w:rsid w:val="007448F7"/>
    <w:rsid w:val="007C2020"/>
    <w:rsid w:val="00805185"/>
    <w:rsid w:val="00836A8D"/>
    <w:rsid w:val="00860B73"/>
    <w:rsid w:val="008943C2"/>
    <w:rsid w:val="00967F91"/>
    <w:rsid w:val="00A13EC9"/>
    <w:rsid w:val="00A54B2B"/>
    <w:rsid w:val="00AA032B"/>
    <w:rsid w:val="00AD543E"/>
    <w:rsid w:val="00AD6E91"/>
    <w:rsid w:val="00AE6EE7"/>
    <w:rsid w:val="00B33DE7"/>
    <w:rsid w:val="00B71FE7"/>
    <w:rsid w:val="00B75055"/>
    <w:rsid w:val="00B773CB"/>
    <w:rsid w:val="00BA5B0B"/>
    <w:rsid w:val="00BC11A9"/>
    <w:rsid w:val="00C07CE2"/>
    <w:rsid w:val="00C316AB"/>
    <w:rsid w:val="00C61332"/>
    <w:rsid w:val="00C6683F"/>
    <w:rsid w:val="00C80A8F"/>
    <w:rsid w:val="00C933C8"/>
    <w:rsid w:val="00CC3F81"/>
    <w:rsid w:val="00D20446"/>
    <w:rsid w:val="00D33A8F"/>
    <w:rsid w:val="00DA14A2"/>
    <w:rsid w:val="00DB1CC8"/>
    <w:rsid w:val="00E01D97"/>
    <w:rsid w:val="00E410CC"/>
    <w:rsid w:val="00E54668"/>
    <w:rsid w:val="00E63B14"/>
    <w:rsid w:val="00E83AA1"/>
    <w:rsid w:val="00E879C9"/>
    <w:rsid w:val="00EB223B"/>
    <w:rsid w:val="00EF571B"/>
    <w:rsid w:val="00F02DBA"/>
    <w:rsid w:val="00F3270B"/>
    <w:rsid w:val="00F44C74"/>
    <w:rsid w:val="00F8353E"/>
    <w:rsid w:val="00F9148E"/>
    <w:rsid w:val="00F952E3"/>
    <w:rsid w:val="00FC3A28"/>
    <w:rsid w:val="00FF6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0375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75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2437</Words>
  <Characters>14384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5</cp:revision>
  <cp:lastPrinted>2025-05-14T04:39:00Z</cp:lastPrinted>
  <dcterms:created xsi:type="dcterms:W3CDTF">2025-03-17T06:12:00Z</dcterms:created>
  <dcterms:modified xsi:type="dcterms:W3CDTF">2025-05-16T04:10:00Z</dcterms:modified>
</cp:coreProperties>
</file>