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Příloha č. 4 SOD č. 466/2025</w:t>
      </w:r>
    </w:p>
    <w:p>
      <w:pPr>
        <w:pStyle w:val="Style8"/>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10"/>
        <w:keepNext/>
        <w:keepLines/>
        <w:widowControl w:val="0"/>
        <w:shd w:val="clear" w:color="auto" w:fill="auto"/>
        <w:tabs>
          <w:tab w:pos="2117" w:val="left"/>
        </w:tabs>
        <w:bidi w:val="0"/>
        <w:spacing w:before="0" w:after="200" w:line="240" w:lineRule="auto"/>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VD Horka - vodovod k DH 1 a DH 2 (přípojky DH1, DH2, MVE)</w:t>
      </w:r>
      <w:bookmarkEnd w:id="3"/>
      <w:bookmarkEnd w:id="4"/>
      <w:bookmarkEnd w:id="5"/>
    </w:p>
    <w:p>
      <w:pPr>
        <w:pStyle w:val="Style13"/>
        <w:keepNext/>
        <w:keepLines/>
        <w:widowControl w:val="0"/>
        <w:shd w:val="clear" w:color="auto" w:fill="auto"/>
        <w:tabs>
          <w:tab w:pos="2117" w:val="left"/>
        </w:tabs>
        <w:bidi w:val="0"/>
        <w:spacing w:before="0" w:after="200" w:line="240" w:lineRule="auto"/>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Zadavatel:</w:t>
        <w:tab/>
        <w:t>Povodí Ohře, státní podnik, Bezručova 4219, 430 03 Chomutov</w:t>
      </w:r>
      <w:bookmarkEnd w:id="6"/>
      <w:bookmarkEnd w:id="7"/>
      <w:bookmarkEnd w:id="8"/>
    </w:p>
    <w:p>
      <w:pPr>
        <w:pStyle w:val="Style13"/>
        <w:keepNext/>
        <w:keepLines/>
        <w:widowControl w:val="0"/>
        <w:shd w:val="clear" w:color="auto" w:fill="auto"/>
        <w:bidi w:val="0"/>
        <w:spacing w:before="0" w:after="0"/>
        <w:ind w:left="0" w:right="0" w:firstLine="0"/>
        <w:jc w:val="left"/>
      </w:pPr>
      <w:bookmarkStart w:id="10" w:name="bookmark10"/>
      <w:bookmarkStart w:id="11" w:name="bookmark11"/>
      <w:bookmarkStart w:id="9" w:name="bookmark9"/>
      <w:r>
        <w:rPr>
          <w:b/>
          <w:bCs/>
          <w:color w:val="000000"/>
          <w:spacing w:val="0"/>
          <w:w w:val="100"/>
          <w:position w:val="0"/>
          <w:sz w:val="24"/>
          <w:szCs w:val="24"/>
          <w:shd w:val="clear" w:color="auto" w:fill="auto"/>
          <w:lang w:val="cs-CZ" w:eastAsia="cs-CZ" w:bidi="cs-CZ"/>
        </w:rPr>
        <w:t xml:space="preserve">ČESTNÉ PROHLÁŠENÍ </w:t>
      </w:r>
      <w:r>
        <w:rPr>
          <w:color w:val="000000"/>
          <w:spacing w:val="0"/>
          <w:w w:val="100"/>
          <w:position w:val="0"/>
          <w:sz w:val="24"/>
          <w:szCs w:val="24"/>
          <w:shd w:val="clear" w:color="auto" w:fill="auto"/>
          <w:lang w:val="cs-CZ" w:eastAsia="cs-CZ" w:bidi="cs-CZ"/>
        </w:rPr>
        <w:t>Vodohospodářské stavby, společnost s ručením omezeným</w:t>
      </w:r>
      <w:bookmarkEnd w:id="10"/>
      <w:bookmarkEnd w:id="11"/>
      <w:bookmarkEnd w:id="9"/>
    </w:p>
    <w:p>
      <w:pPr>
        <w:pStyle w:val="Style16"/>
        <w:keepNext w:val="0"/>
        <w:keepLines w:val="0"/>
        <w:widowControl w:val="0"/>
        <w:shd w:val="clear" w:color="auto" w:fill="auto"/>
        <w:tabs>
          <w:tab w:leader="dot" w:pos="8122" w:val="left"/>
        </w:tabs>
        <w:bidi w:val="0"/>
        <w:spacing w:before="0" w:after="20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ab/>
        <w:t xml:space="preserve"> </w:t>
      </w:r>
      <w:r>
        <w:rPr>
          <w:color w:val="000000"/>
          <w:spacing w:val="0"/>
          <w:w w:val="100"/>
          <w:position w:val="0"/>
          <w:sz w:val="20"/>
          <w:szCs w:val="20"/>
          <w:shd w:val="clear" w:color="auto" w:fill="auto"/>
          <w:lang w:val="cs-CZ" w:eastAsia="cs-CZ" w:bidi="cs-CZ"/>
        </w:rPr>
        <w:t>(název účastníka zadávacího řízení)</w:t>
      </w:r>
    </w:p>
    <w:p>
      <w:pPr>
        <w:pStyle w:val="Style16"/>
        <w:keepNext w:val="0"/>
        <w:keepLines w:val="0"/>
        <w:widowControl w:val="0"/>
        <w:shd w:val="clear" w:color="auto" w:fill="auto"/>
        <w:bidi w:val="0"/>
        <w:spacing w:before="0" w:after="120" w:line="36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0"/>
        <w:keepNext/>
        <w:keepLines/>
        <w:widowControl w:val="0"/>
        <w:shd w:val="clear" w:color="auto" w:fill="auto"/>
        <w:bidi w:val="0"/>
        <w:spacing w:before="0" w:after="0"/>
        <w:ind w:left="0" w:right="0" w:firstLine="0"/>
        <w:jc w:val="left"/>
        <w:rPr>
          <w:sz w:val="22"/>
          <w:szCs w:val="22"/>
        </w:rPr>
      </w:pPr>
      <w:bookmarkStart w:id="12" w:name="bookmark12"/>
      <w:bookmarkStart w:id="13" w:name="bookmark13"/>
      <w:bookmarkStart w:id="14" w:name="bookmark14"/>
      <w:r>
        <w:rPr>
          <w:color w:val="000000"/>
          <w:spacing w:val="0"/>
          <w:w w:val="100"/>
          <w:position w:val="0"/>
          <w:sz w:val="24"/>
          <w:szCs w:val="24"/>
          <w:shd w:val="clear" w:color="auto" w:fill="auto"/>
          <w:lang w:val="cs-CZ" w:eastAsia="cs-CZ" w:bidi="cs-CZ"/>
        </w:rPr>
        <w:t xml:space="preserve">VD Horka - vodovod k DH 1 a DH 2 (přípojky DH1, DH2, MVE) </w:t>
      </w:r>
      <w:r>
        <w:rPr>
          <w:b w:val="0"/>
          <w:bCs w:val="0"/>
          <w:color w:val="000000"/>
          <w:spacing w:val="0"/>
          <w:w w:val="100"/>
          <w:position w:val="0"/>
          <w:sz w:val="22"/>
          <w:szCs w:val="22"/>
          <w:shd w:val="clear" w:color="auto" w:fill="auto"/>
          <w:lang w:val="cs-CZ" w:eastAsia="cs-CZ" w:bidi="cs-CZ"/>
        </w:rPr>
        <w:t>Dodavatel – společnost</w:t>
      </w:r>
      <w:bookmarkEnd w:id="12"/>
      <w:bookmarkEnd w:id="13"/>
      <w:bookmarkEnd w:id="14"/>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Vodohospodářské stavby, společnost s ručením omezeným</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Křižíkova 2393, 415 01 Teplice, IČO: 40233308 jednající prostřednictvím jednatel</w:t>
      </w:r>
    </w:p>
    <w:p>
      <w:pPr>
        <w:pStyle w:val="Style16"/>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(dále jen „dodavatel“),</w:t>
      </w:r>
    </w:p>
    <w:p>
      <w:pPr>
        <w:pStyle w:val="Style1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6"/>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5" w:name="bookmark15"/>
      <w:bookmarkEnd w:id="15"/>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6"/>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6" w:name="bookmark16"/>
      <w:bookmarkEnd w:id="16"/>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6"/>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17" w:name="bookmark17"/>
      <w:bookmarkEnd w:id="17"/>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6"/>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18" w:name="bookmark18"/>
      <w:bookmarkEnd w:id="18"/>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6"/>
        <w:keepNext w:val="0"/>
        <w:keepLines w:val="0"/>
        <w:widowControl w:val="0"/>
        <w:numPr>
          <w:ilvl w:val="0"/>
          <w:numId w:val="5"/>
        </w:numPr>
        <w:shd w:val="clear" w:color="auto" w:fill="auto"/>
        <w:tabs>
          <w:tab w:pos="306" w:val="left"/>
        </w:tabs>
        <w:bidi w:val="0"/>
        <w:spacing w:before="0" w:line="240" w:lineRule="auto"/>
        <w:ind w:left="300" w:right="0" w:hanging="300"/>
        <w:jc w:val="left"/>
      </w:pPr>
      <w:bookmarkStart w:id="19" w:name="bookmark19"/>
      <w:bookmarkEnd w:id="19"/>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6"/>
        <w:keepNext w:val="0"/>
        <w:keepLines w:val="0"/>
        <w:widowControl w:val="0"/>
        <w:numPr>
          <w:ilvl w:val="0"/>
          <w:numId w:val="5"/>
        </w:numPr>
        <w:shd w:val="clear" w:color="auto" w:fill="auto"/>
        <w:tabs>
          <w:tab w:pos="354" w:val="left"/>
        </w:tabs>
        <w:bidi w:val="0"/>
        <w:spacing w:before="0" w:after="80" w:line="240" w:lineRule="auto"/>
        <w:ind w:left="300" w:right="0" w:hanging="300"/>
        <w:jc w:val="left"/>
      </w:pPr>
      <w:bookmarkStart w:id="20" w:name="bookmark20"/>
      <w:bookmarkEnd w:id="20"/>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6"/>
        <w:keepNext w:val="0"/>
        <w:keepLines w:val="0"/>
        <w:widowControl w:val="0"/>
        <w:shd w:val="clear" w:color="auto" w:fill="auto"/>
        <w:bidi w:val="0"/>
        <w:spacing w:before="0" w:after="146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6"/>
        <w:keepNext w:val="0"/>
        <w:keepLines w:val="0"/>
        <w:widowControl w:val="0"/>
        <w:shd w:val="clear" w:color="auto" w:fill="auto"/>
        <w:tabs>
          <w:tab w:pos="3086" w:val="left"/>
          <w:tab w:pos="5213" w:val="left"/>
          <w:tab w:pos="8813" w:val="left"/>
        </w:tabs>
        <w:bidi w:val="0"/>
        <w:spacing w:before="0" w:after="460" w:line="240" w:lineRule="auto"/>
        <w:ind w:left="0" w:right="0" w:firstLine="0"/>
        <w:jc w:val="left"/>
      </w:pPr>
      <w:r>
        <w:rPr>
          <w:color w:val="000000"/>
          <w:spacing w:val="0"/>
          <w:w w:val="100"/>
          <w:position w:val="0"/>
          <w:shd w:val="clear" w:color="auto" w:fill="auto"/>
          <w:lang w:val="cs-CZ" w:eastAsia="cs-CZ" w:bidi="cs-CZ"/>
        </w:rPr>
        <w:t>Jméno:</w:t>
        <w:tab/>
        <w:t>jednatel</w:t>
        <w:tab/>
        <w:t xml:space="preserve">Podpis: </w:t>
      </w:r>
      <w:r>
        <w:rPr>
          <w:u w:val="single"/>
        </w:rPr>
        <w:t xml:space="preserve"> </w:t>
        <w:tab/>
      </w:r>
    </w:p>
    <w:p>
      <w:pPr>
        <w:pStyle w:val="Style16"/>
        <w:keepNext w:val="0"/>
        <w:keepLines w:val="0"/>
        <w:widowControl w:val="0"/>
        <w:shd w:val="clear" w:color="auto" w:fill="auto"/>
        <w:tabs>
          <w:tab w:leader="dot" w:pos="2866" w:val="left"/>
          <w:tab w:leader="dot" w:pos="7373" w:val="left"/>
        </w:tabs>
        <w:bidi w:val="0"/>
        <w:spacing w:before="0" w:after="200" w:line="240" w:lineRule="auto"/>
        <w:ind w:left="0" w:right="0" w:firstLine="0"/>
        <w:jc w:val="center"/>
      </w:pPr>
      <w:r>
        <w:rPr>
          <w:color w:val="000000"/>
          <w:spacing w:val="0"/>
          <w:w w:val="100"/>
          <w:position w:val="0"/>
          <w:shd w:val="clear" w:color="auto" w:fill="auto"/>
          <w:lang w:val="cs-CZ" w:eastAsia="cs-CZ" w:bidi="cs-CZ"/>
        </w:rPr>
        <w:tab/>
        <w:t xml:space="preserve"> </w:t>
        <w:tab/>
      </w:r>
    </w:p>
    <w:p>
      <w:pPr>
        <w:pStyle w:val="Style16"/>
        <w:keepNext w:val="0"/>
        <w:keepLines w:val="0"/>
        <w:widowControl w:val="0"/>
        <w:shd w:val="clear" w:color="auto" w:fill="auto"/>
        <w:bidi w:val="0"/>
        <w:spacing w:before="0" w:after="46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sectPr>
      <w:footerReference w:type="default" r:id="rId5"/>
      <w:footnotePr>
        <w:pos w:val="pageBottom"/>
        <w:numFmt w:val="decimal"/>
        <w:numRestart w:val="continuous"/>
      </w:footnotePr>
      <w:pgSz w:w="11909" w:h="16838"/>
      <w:pgMar w:top="1118" w:left="1107" w:right="1105" w:bottom="1993" w:header="69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6043295</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85000000000002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28"/>
      <w:szCs w:val="28"/>
      <w:u w:val="none"/>
    </w:rPr>
  </w:style>
  <w:style w:type="character" w:customStyle="1" w:styleId="CharStyle11">
    <w:name w:val="Char Style 11"/>
    <w:basedOn w:val="DefaultParagraphFont"/>
    <w:link w:val="Style10"/>
    <w:rPr>
      <w:rFonts w:ascii="Arial" w:eastAsia="Arial" w:hAnsi="Arial" w:cs="Arial"/>
      <w:b/>
      <w:bCs/>
      <w:i w:val="0"/>
      <w:iCs w:val="0"/>
      <w:smallCaps w:val="0"/>
      <w:strike w:val="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60"/>
    </w:pPr>
    <w:rPr>
      <w:rFonts w:ascii="Arial" w:eastAsia="Arial" w:hAnsi="Arial" w:cs="Arial"/>
      <w:b w:val="0"/>
      <w:bCs w:val="0"/>
      <w:i w:val="0"/>
      <w:iCs w:val="0"/>
      <w:smallCaps w:val="0"/>
      <w:strike w:val="0"/>
      <w:sz w:val="18"/>
      <w:szCs w:val="1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460"/>
      <w:jc w:val="center"/>
      <w:outlineLvl w:val="0"/>
    </w:pPr>
    <w:rPr>
      <w:rFonts w:ascii="Arial" w:eastAsia="Arial" w:hAnsi="Arial" w:cs="Arial"/>
      <w:b/>
      <w:bCs/>
      <w:i w:val="0"/>
      <w:iCs w:val="0"/>
      <w:smallCaps w:val="0"/>
      <w:strike w:val="0"/>
      <w:sz w:val="28"/>
      <w:szCs w:val="28"/>
      <w:u w:val="none"/>
    </w:rPr>
  </w:style>
  <w:style w:type="paragraph" w:customStyle="1" w:styleId="Style10">
    <w:name w:val="Style 10"/>
    <w:basedOn w:val="Normal"/>
    <w:link w:val="CharStyle11"/>
    <w:pPr>
      <w:widowControl w:val="0"/>
      <w:shd w:val="clear" w:color="auto" w:fill="FFFFFF"/>
      <w:spacing w:after="100" w:line="463" w:lineRule="auto"/>
      <w:outlineLvl w:val="1"/>
    </w:pPr>
    <w:rPr>
      <w:rFonts w:ascii="Arial" w:eastAsia="Arial" w:hAnsi="Arial" w:cs="Arial"/>
      <w:b/>
      <w:bCs/>
      <w:i w:val="0"/>
      <w:iCs w:val="0"/>
      <w:smallCaps w:val="0"/>
      <w:strike w:val="0"/>
      <w:u w:val="none"/>
    </w:rPr>
  </w:style>
  <w:style w:type="paragraph" w:customStyle="1" w:styleId="Style13">
    <w:name w:val="Style 13"/>
    <w:basedOn w:val="Normal"/>
    <w:link w:val="CharStyle14"/>
    <w:pPr>
      <w:widowControl w:val="0"/>
      <w:shd w:val="clear" w:color="auto" w:fill="FFFFFF"/>
      <w:spacing w:after="100" w:line="480" w:lineRule="auto"/>
      <w:outlineLvl w:val="2"/>
    </w:pPr>
    <w:rPr>
      <w:rFonts w:ascii="Arial" w:eastAsia="Arial" w:hAnsi="Arial" w:cs="Arial"/>
      <w:b w:val="0"/>
      <w:bCs w:val="0"/>
      <w:i w:val="0"/>
      <w:iCs w:val="0"/>
      <w:smallCaps w:val="0"/>
      <w:strike w:val="0"/>
      <w:u w:val="none"/>
    </w:rPr>
  </w:style>
  <w:style w:type="paragraph" w:customStyle="1" w:styleId="Style16">
    <w:name w:val="Style 16"/>
    <w:basedOn w:val="Normal"/>
    <w:link w:val="CharStyle17"/>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