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A23A" w14:textId="77777777" w:rsidR="009D295F" w:rsidRDefault="001D2793">
      <w:pPr>
        <w:tabs>
          <w:tab w:val="left" w:pos="2552"/>
        </w:tabs>
        <w:jc w:val="center"/>
        <w:rPr>
          <w:b/>
          <w:szCs w:val="22"/>
        </w:rPr>
      </w:pPr>
      <w:r>
        <w:rPr>
          <w:b/>
          <w:szCs w:val="22"/>
        </w:rPr>
        <w:t>DODATEK Č. 7</w:t>
      </w:r>
    </w:p>
    <w:p w14:paraId="03F0734D" w14:textId="77777777" w:rsidR="009D295F" w:rsidRDefault="001D2793">
      <w:pPr>
        <w:tabs>
          <w:tab w:val="left" w:pos="2552"/>
        </w:tabs>
      </w:pPr>
      <w:r>
        <w:rPr>
          <w:szCs w:val="22"/>
        </w:rPr>
        <w:t>KE SMLOUVĚ O NÁJMU NEBYTOVÝCH PROSTOR ZE DNE 12.09.2011 ve znění Dodatku č. 1, Dodatku č. 2, Dodatku č. 3, Dodatku č. 4, Dodatku č. 5 a Dodatku č. 6 (dále jen „</w:t>
      </w:r>
      <w:r>
        <w:rPr>
          <w:b/>
          <w:szCs w:val="22"/>
        </w:rPr>
        <w:t>Dodatek č. 7</w:t>
      </w:r>
      <w:r>
        <w:rPr>
          <w:szCs w:val="22"/>
        </w:rPr>
        <w:t>“ nebo „</w:t>
      </w:r>
      <w:r>
        <w:rPr>
          <w:b/>
        </w:rPr>
        <w:t>Dodatek</w:t>
      </w:r>
      <w:r>
        <w:rPr>
          <w:szCs w:val="22"/>
        </w:rPr>
        <w:t xml:space="preserve">“) se uzavírá níže </w:t>
      </w:r>
      <w:r>
        <w:rPr>
          <w:szCs w:val="22"/>
        </w:rPr>
        <w:t>uvedeného dne, měsíce a roku</w:t>
      </w:r>
    </w:p>
    <w:p w14:paraId="3A83F77D" w14:textId="77777777" w:rsidR="009D295F" w:rsidRDefault="001D2793">
      <w:pPr>
        <w:rPr>
          <w:szCs w:val="22"/>
        </w:rPr>
      </w:pPr>
      <w:r>
        <w:rPr>
          <w:szCs w:val="22"/>
        </w:rPr>
        <w:t>MEZI:</w:t>
      </w:r>
    </w:p>
    <w:p w14:paraId="73BA37D2" w14:textId="77777777" w:rsidR="009D295F" w:rsidRDefault="001D2793">
      <w:pPr>
        <w:overflowPunct/>
        <w:autoSpaceDE/>
        <w:spacing w:after="0"/>
        <w:textAlignment w:val="auto"/>
      </w:pPr>
      <w:bookmarkStart w:id="0" w:name="_Hlk193709777"/>
      <w:r>
        <w:rPr>
          <w:rStyle w:val="preformatted"/>
          <w:b/>
          <w:szCs w:val="22"/>
        </w:rPr>
        <w:t>Nemovitostní společnost Olbrachtova 9, s.r.o.</w:t>
      </w:r>
    </w:p>
    <w:bookmarkEnd w:id="0"/>
    <w:p w14:paraId="49FC6315" w14:textId="77777777" w:rsidR="009D295F" w:rsidRDefault="001D2793">
      <w:pPr>
        <w:overflowPunct/>
        <w:autoSpaceDE/>
        <w:spacing w:after="0"/>
        <w:textAlignment w:val="auto"/>
        <w:rPr>
          <w:bCs/>
          <w:szCs w:val="22"/>
        </w:rPr>
      </w:pPr>
      <w:r>
        <w:rPr>
          <w:bCs/>
          <w:szCs w:val="22"/>
        </w:rPr>
        <w:t>IČO: 041 68 062</w:t>
      </w:r>
    </w:p>
    <w:p w14:paraId="7271F6C4" w14:textId="77777777" w:rsidR="009D295F" w:rsidRDefault="001D2793">
      <w:pPr>
        <w:overflowPunct/>
        <w:autoSpaceDE/>
        <w:spacing w:after="0"/>
        <w:textAlignment w:val="auto"/>
        <w:rPr>
          <w:bCs/>
          <w:szCs w:val="22"/>
        </w:rPr>
      </w:pPr>
      <w:r>
        <w:rPr>
          <w:bCs/>
          <w:szCs w:val="22"/>
        </w:rPr>
        <w:t xml:space="preserve">se sídlem Nádražní 762/32, Smíchov, 150 </w:t>
      </w:r>
      <w:proofErr w:type="gramStart"/>
      <w:r>
        <w:rPr>
          <w:bCs/>
          <w:szCs w:val="22"/>
        </w:rPr>
        <w:t>00  Praha</w:t>
      </w:r>
      <w:proofErr w:type="gramEnd"/>
      <w:r>
        <w:rPr>
          <w:bCs/>
          <w:szCs w:val="22"/>
        </w:rPr>
        <w:t xml:space="preserve"> 5</w:t>
      </w:r>
    </w:p>
    <w:p w14:paraId="1914AAC0" w14:textId="77777777" w:rsidR="009D295F" w:rsidRDefault="001D2793">
      <w:pPr>
        <w:overflowPunct/>
        <w:autoSpaceDE/>
        <w:spacing w:after="0"/>
        <w:textAlignment w:val="auto"/>
      </w:pPr>
      <w:r>
        <w:rPr>
          <w:bCs/>
          <w:szCs w:val="22"/>
        </w:rPr>
        <w:t>zapsaná v obchodním rejstříku vedeném Městským soudem v Praze pod spisovou značkou C</w:t>
      </w:r>
      <w:r>
        <w:rPr>
          <w:szCs w:val="22"/>
        </w:rPr>
        <w:t xml:space="preserve"> </w:t>
      </w:r>
      <w:r>
        <w:rPr>
          <w:bCs/>
          <w:szCs w:val="22"/>
        </w:rPr>
        <w:t>243574</w:t>
      </w:r>
    </w:p>
    <w:p w14:paraId="48E750CE" w14:textId="77777777" w:rsidR="009D295F" w:rsidRDefault="001D2793">
      <w:pPr>
        <w:overflowPunct/>
        <w:autoSpaceDE/>
        <w:spacing w:after="0"/>
        <w:textAlignment w:val="auto"/>
      </w:pPr>
      <w:r>
        <w:rPr>
          <w:szCs w:val="22"/>
        </w:rPr>
        <w:t xml:space="preserve">zastoupená Jaroslavem </w:t>
      </w:r>
      <w:proofErr w:type="spellStart"/>
      <w:r>
        <w:rPr>
          <w:szCs w:val="22"/>
        </w:rPr>
        <w:t>Midou</w:t>
      </w:r>
      <w:proofErr w:type="spellEnd"/>
      <w:r>
        <w:rPr>
          <w:szCs w:val="22"/>
        </w:rPr>
        <w:t xml:space="preserve">, jednatelem </w:t>
      </w:r>
    </w:p>
    <w:p w14:paraId="6D13CC7E" w14:textId="77777777" w:rsidR="009D295F" w:rsidRDefault="001D2793">
      <w:pPr>
        <w:overflowPunct/>
        <w:autoSpaceDE/>
        <w:jc w:val="right"/>
        <w:textAlignment w:val="auto"/>
      </w:pPr>
      <w:r>
        <w:rPr>
          <w:rStyle w:val="platne1"/>
          <w:szCs w:val="22"/>
        </w:rPr>
        <w:t>(„</w:t>
      </w:r>
      <w:r>
        <w:rPr>
          <w:rStyle w:val="platne1"/>
          <w:b/>
          <w:szCs w:val="22"/>
        </w:rPr>
        <w:t>Pronajímatel</w:t>
      </w:r>
      <w:r>
        <w:rPr>
          <w:rStyle w:val="platne1"/>
          <w:szCs w:val="22"/>
        </w:rPr>
        <w:t>“)</w:t>
      </w:r>
    </w:p>
    <w:p w14:paraId="2B98FFED" w14:textId="77777777" w:rsidR="009D295F" w:rsidRDefault="001D2793">
      <w:pPr>
        <w:ind w:left="720" w:hanging="720"/>
        <w:rPr>
          <w:szCs w:val="22"/>
        </w:rPr>
      </w:pPr>
      <w:r>
        <w:rPr>
          <w:szCs w:val="22"/>
        </w:rPr>
        <w:t>a</w:t>
      </w:r>
    </w:p>
    <w:p w14:paraId="279EEE35" w14:textId="77777777" w:rsidR="009D295F" w:rsidRDefault="001D2793">
      <w:pPr>
        <w:spacing w:after="0"/>
      </w:pPr>
      <w:r>
        <w:rPr>
          <w:rStyle w:val="platne1"/>
          <w:b/>
          <w:szCs w:val="22"/>
        </w:rPr>
        <w:t>Státní fond životního prostředí České republiky</w:t>
      </w:r>
    </w:p>
    <w:p w14:paraId="17252932" w14:textId="77777777" w:rsidR="009D295F" w:rsidRDefault="001D2793">
      <w:pPr>
        <w:spacing w:after="0"/>
      </w:pPr>
      <w:r>
        <w:rPr>
          <w:rStyle w:val="platne1"/>
          <w:szCs w:val="22"/>
        </w:rPr>
        <w:t>IČO: 000 20 729</w:t>
      </w:r>
    </w:p>
    <w:p w14:paraId="07AA10A6" w14:textId="77777777" w:rsidR="009D295F" w:rsidRDefault="001D2793">
      <w:pPr>
        <w:spacing w:after="0"/>
      </w:pPr>
      <w:r>
        <w:rPr>
          <w:rStyle w:val="platne1"/>
          <w:szCs w:val="22"/>
        </w:rPr>
        <w:t>se sídlem Kaplanova 1931/1, Chodov, 148 00 Praha 11</w:t>
      </w:r>
    </w:p>
    <w:p w14:paraId="224D6D99" w14:textId="77777777" w:rsidR="009D295F" w:rsidRDefault="001D2793">
      <w:pPr>
        <w:spacing w:after="0"/>
      </w:pPr>
      <w:r>
        <w:rPr>
          <w:rStyle w:val="platne1"/>
          <w:szCs w:val="22"/>
        </w:rPr>
        <w:t>korespondenční adresa: Olbrachtova 2006/9, Krč, 140 00 Praha 4</w:t>
      </w:r>
    </w:p>
    <w:p w14:paraId="0F725064" w14:textId="77777777" w:rsidR="009D295F" w:rsidRDefault="001D2793">
      <w:pPr>
        <w:spacing w:after="0"/>
        <w:rPr>
          <w:bCs/>
          <w:szCs w:val="22"/>
        </w:rPr>
      </w:pPr>
      <w:r>
        <w:rPr>
          <w:bCs/>
          <w:szCs w:val="22"/>
        </w:rPr>
        <w:t xml:space="preserve">zastoupený Ing. Petrem </w:t>
      </w:r>
      <w:r>
        <w:rPr>
          <w:bCs/>
          <w:szCs w:val="22"/>
        </w:rPr>
        <w:t>Valdmanem, ředitelem Státního fondu životního prostředí České republiky</w:t>
      </w:r>
    </w:p>
    <w:p w14:paraId="2F82BC95" w14:textId="77777777" w:rsidR="009D295F" w:rsidRDefault="001D2793">
      <w:pPr>
        <w:spacing w:after="100"/>
        <w:jc w:val="right"/>
      </w:pPr>
      <w:r>
        <w:rPr>
          <w:szCs w:val="22"/>
        </w:rPr>
        <w:t>(“</w:t>
      </w:r>
      <w:r>
        <w:rPr>
          <w:b/>
          <w:szCs w:val="22"/>
        </w:rPr>
        <w:t>Nájemce</w:t>
      </w:r>
      <w:r>
        <w:rPr>
          <w:szCs w:val="22"/>
        </w:rPr>
        <w:t>”)</w:t>
      </w:r>
    </w:p>
    <w:p w14:paraId="45897912" w14:textId="77777777" w:rsidR="009D295F" w:rsidRDefault="001D2793">
      <w:r>
        <w:rPr>
          <w:szCs w:val="22"/>
        </w:rPr>
        <w:t>(Pronajímatel a Nájemce jsou dále společně označováni jako „</w:t>
      </w:r>
      <w:r>
        <w:rPr>
          <w:b/>
          <w:szCs w:val="22"/>
        </w:rPr>
        <w:t>Strany</w:t>
      </w:r>
      <w:r>
        <w:rPr>
          <w:szCs w:val="22"/>
        </w:rPr>
        <w:t>“)</w:t>
      </w:r>
    </w:p>
    <w:p w14:paraId="45F67251" w14:textId="77777777" w:rsidR="009D295F" w:rsidRDefault="001D2793">
      <w:pPr>
        <w:pStyle w:val="Nadpis1"/>
      </w:pPr>
      <w:r>
        <w:t>úvodní ustanovení</w:t>
      </w:r>
    </w:p>
    <w:p w14:paraId="1A8C71E8" w14:textId="77777777" w:rsidR="009D295F" w:rsidRDefault="001D2793">
      <w:pPr>
        <w:pStyle w:val="Nadpis2"/>
      </w:pPr>
      <w:r>
        <w:t xml:space="preserve">Dne 12.09.2011 uzavřeli </w:t>
      </w:r>
      <w:r>
        <w:rPr>
          <w:rStyle w:val="preformatted"/>
          <w:b/>
          <w:szCs w:val="22"/>
        </w:rPr>
        <w:t xml:space="preserve">DB Real </w:t>
      </w:r>
      <w:proofErr w:type="spellStart"/>
      <w:r>
        <w:rPr>
          <w:rStyle w:val="preformatted"/>
          <w:b/>
          <w:szCs w:val="22"/>
        </w:rPr>
        <w:t>Estate</w:t>
      </w:r>
      <w:proofErr w:type="spellEnd"/>
      <w:r>
        <w:rPr>
          <w:rStyle w:val="preformatted"/>
          <w:b/>
          <w:szCs w:val="22"/>
        </w:rPr>
        <w:t xml:space="preserve"> II KC s.r.o.</w:t>
      </w:r>
      <w:r>
        <w:rPr>
          <w:rStyle w:val="preformatted"/>
          <w:szCs w:val="22"/>
        </w:rPr>
        <w:t>,</w:t>
      </w:r>
      <w:r>
        <w:t xml:space="preserve"> identifikační číslo: 457 91 180, se sídlem Praha 1, Staré Město, Dlouhá 713/34, PSČ: 110 00, zapsaný v obchodním rejstříku vedeném Městským soudem v Praze pod spisovou značkou C 13768 (dále jen „</w:t>
      </w:r>
      <w:r>
        <w:rPr>
          <w:b/>
        </w:rPr>
        <w:t>Původní pronajímatel</w:t>
      </w:r>
      <w:r>
        <w:t>“) a Nájemce smlouvu o nájmu nebytových prostor, na základě které Původní pronajímatel přenechal Nájemci do užívání nebytové prostory a parkovací stání definované takovou smlouvou o nájmu nebytových prostor a nacházející se v budově č.p. 2006/9, v ulici Olbrachtova, P</w:t>
      </w:r>
      <w:r>
        <w:t xml:space="preserve">raha 4 – Krč, zapsané na listu vlastnictví (LV) č. 5372, pro katastrální území Krč, obec Praha, část obce Krč, vybudované na pozemcích </w:t>
      </w:r>
      <w:proofErr w:type="spellStart"/>
      <w:r>
        <w:t>parc</w:t>
      </w:r>
      <w:proofErr w:type="spellEnd"/>
      <w:r>
        <w:t>. č. 1254/25, 1254/76, 1254/80, 1254/83, 1254/84 a 1254/87, vše v katastrálním území Krč (dále jen „</w:t>
      </w:r>
      <w:r>
        <w:rPr>
          <w:b/>
        </w:rPr>
        <w:t>Nájemní</w:t>
      </w:r>
      <w:r>
        <w:t xml:space="preserve"> </w:t>
      </w:r>
      <w:r>
        <w:rPr>
          <w:b/>
        </w:rPr>
        <w:t>Smlouva</w:t>
      </w:r>
      <w:r>
        <w:t>“).</w:t>
      </w:r>
    </w:p>
    <w:p w14:paraId="18FA9B03" w14:textId="77777777" w:rsidR="009D295F" w:rsidRDefault="001D2793">
      <w:pPr>
        <w:pStyle w:val="Nadpis2"/>
      </w:pPr>
      <w:r>
        <w:t xml:space="preserve">Dne 21.10.2013 uzavřeli Původní pronajímatel a </w:t>
      </w:r>
      <w:r>
        <w:t>Nájemce Dodatek č. 1 k Nájemní smlouvě (dále jen „</w:t>
      </w:r>
      <w:r>
        <w:rPr>
          <w:b/>
        </w:rPr>
        <w:t>Dodatek č. 1</w:t>
      </w:r>
      <w:r>
        <w:t>“).</w:t>
      </w:r>
    </w:p>
    <w:p w14:paraId="611991BD" w14:textId="77777777" w:rsidR="009D295F" w:rsidRDefault="001D2793">
      <w:pPr>
        <w:pStyle w:val="Nadpis2"/>
      </w:pPr>
      <w:r>
        <w:t>Dne 05.12.2014 uzavřeli Původní pronajímatel a Nájemce Dodatek č. 2 k Nájemní smlouvě (dále jen „</w:t>
      </w:r>
      <w:r>
        <w:rPr>
          <w:b/>
        </w:rPr>
        <w:t>Dodatek č. 2</w:t>
      </w:r>
      <w:r>
        <w:t>“), kdy Dodatek č. 2 obsahoval úplné znění Nájemní Smlouvy ve znění Dodatku č. 1 a Dodatku č. 2.</w:t>
      </w:r>
    </w:p>
    <w:p w14:paraId="2CF8DCB9" w14:textId="77777777" w:rsidR="009D295F" w:rsidRDefault="001D2793">
      <w:pPr>
        <w:pStyle w:val="Nadpis2"/>
      </w:pPr>
      <w:r>
        <w:t>Dne 15.06.2016 byla do obchodního rejstříku zapsána fúze sloučením Původního pronajímatele, jako zanikající společnosti, a Pronajímatele, jako nástupnické společnosti, v důsledku které (i) zanikl Původní pronajímatel, a (</w:t>
      </w:r>
      <w:proofErr w:type="spellStart"/>
      <w:r>
        <w:t>ii</w:t>
      </w:r>
      <w:proofErr w:type="spellEnd"/>
      <w:r>
        <w:t>) jmění Původního pronajímatele přešlo na Pronajímatele, a (</w:t>
      </w:r>
      <w:proofErr w:type="spellStart"/>
      <w:r>
        <w:t>iii</w:t>
      </w:r>
      <w:proofErr w:type="spellEnd"/>
      <w:r>
        <w:t>) Pronajímatel vstoupil do práv a povinností Původního pronajímatele dle Nájemní smlouvy, ve znění Dodatku č. 1 a Dodatku č. 2.</w:t>
      </w:r>
    </w:p>
    <w:p w14:paraId="62386F9C" w14:textId="77777777" w:rsidR="009D295F" w:rsidRDefault="001D2793">
      <w:pPr>
        <w:pStyle w:val="Nadpis2"/>
      </w:pPr>
      <w:r>
        <w:lastRenderedPageBreak/>
        <w:t xml:space="preserve">Dne 29.11.2016 uzavřeli Pronajímatel a Nájemce Dodatek č. 3 k Nájemní smlouvě </w:t>
      </w:r>
      <w:r>
        <w:rPr>
          <w:szCs w:val="22"/>
        </w:rPr>
        <w:t>(dále jen „</w:t>
      </w:r>
      <w:r>
        <w:rPr>
          <w:b/>
          <w:szCs w:val="22"/>
        </w:rPr>
        <w:t>Dodatek č. 3</w:t>
      </w:r>
      <w:r>
        <w:rPr>
          <w:szCs w:val="22"/>
        </w:rPr>
        <w:t>“).</w:t>
      </w:r>
    </w:p>
    <w:p w14:paraId="2A1E9BAD" w14:textId="77777777" w:rsidR="009D295F" w:rsidRDefault="001D2793">
      <w:pPr>
        <w:pStyle w:val="Nadpis2"/>
      </w:pPr>
      <w:r>
        <w:t xml:space="preserve">Dne 24.6.2019 uzavřeli Pronajímatel a Nájemce Dodatek č. 4 k Nájemní smlouvě </w:t>
      </w:r>
      <w:r>
        <w:rPr>
          <w:szCs w:val="22"/>
        </w:rPr>
        <w:t>(dále jen „</w:t>
      </w:r>
      <w:r>
        <w:rPr>
          <w:b/>
          <w:szCs w:val="22"/>
        </w:rPr>
        <w:t>Dodatek č. 4</w:t>
      </w:r>
      <w:r>
        <w:rPr>
          <w:szCs w:val="22"/>
        </w:rPr>
        <w:t>“).</w:t>
      </w:r>
    </w:p>
    <w:p w14:paraId="7346F3D1" w14:textId="77777777" w:rsidR="009D295F" w:rsidRDefault="001D2793">
      <w:pPr>
        <w:pStyle w:val="Nadpis2"/>
      </w:pPr>
      <w:r>
        <w:t xml:space="preserve">Dne 14.9.2023 uzavřeli Pronajímatel a Nájemce Dodatek č. 5 k Nájemní smlouvě </w:t>
      </w:r>
      <w:r>
        <w:rPr>
          <w:szCs w:val="22"/>
        </w:rPr>
        <w:t>(dále jen „</w:t>
      </w:r>
      <w:r>
        <w:rPr>
          <w:b/>
          <w:szCs w:val="22"/>
        </w:rPr>
        <w:t>Dodatek č. 5</w:t>
      </w:r>
      <w:r>
        <w:rPr>
          <w:szCs w:val="22"/>
        </w:rPr>
        <w:t>“).</w:t>
      </w:r>
    </w:p>
    <w:p w14:paraId="04048D12" w14:textId="77777777" w:rsidR="009D295F" w:rsidRDefault="001D2793">
      <w:pPr>
        <w:pStyle w:val="Nadpis2"/>
      </w:pPr>
      <w:r>
        <w:t>Dne 31.5.2024 uzavřeli Pronajímatel a Nájemce Dodatek č. 6 k Nájemní smlouvě (dále jen „</w:t>
      </w:r>
      <w:r>
        <w:rPr>
          <w:b/>
        </w:rPr>
        <w:t>Dodatek č. 6</w:t>
      </w:r>
      <w:r>
        <w:t>“).</w:t>
      </w:r>
    </w:p>
    <w:p w14:paraId="3DA48DA2" w14:textId="77777777" w:rsidR="009D295F" w:rsidRDefault="001D2793">
      <w:pPr>
        <w:pStyle w:val="Nadpis2"/>
      </w:pPr>
      <w:r>
        <w:t>Nájemní smlouva ve znění Dodatku č. 1, Dodatku č. 2, Dodatku č. 3, Dodatku č. 4, Dodatku č. 5 a Dodatku č. 6 je dále označována jen „</w:t>
      </w:r>
      <w:r>
        <w:rPr>
          <w:b/>
        </w:rPr>
        <w:t>Smlouva</w:t>
      </w:r>
      <w:r>
        <w:t>“ s tím, že n</w:t>
      </w:r>
      <w:r>
        <w:rPr>
          <w:szCs w:val="22"/>
        </w:rPr>
        <w:t>evyplyne-li z kontextu tohoto Dodatku výslovně jinak, mají slova a výrazy definované ve Smlouvě stejný význam i v tomto Dodatku</w:t>
      </w:r>
      <w:r>
        <w:t>.</w:t>
      </w:r>
    </w:p>
    <w:p w14:paraId="6CDA4C20" w14:textId="77777777" w:rsidR="009D295F" w:rsidRDefault="001D2793">
      <w:pPr>
        <w:pStyle w:val="Nadpis2"/>
      </w:pPr>
      <w:r>
        <w:t>Dle článku 6 Dodatku č. 6 se Pronajímatel zavázal, že nejpozději do 6 (šesti) měsíců ode dne uzavření Dodatku č. 6 Pronajímatel na své náklady zajistí zahájení realizace stavebních úprav Budovy (jejích relevantních částí), resp. Předmětu Nájmu (jeho relevantních částí), a to v souladu s podmínkami uvedenými v Příloze B Dodatku č. 6.</w:t>
      </w:r>
    </w:p>
    <w:p w14:paraId="0DA76462" w14:textId="77777777" w:rsidR="009D295F" w:rsidRDefault="001D2793">
      <w:pPr>
        <w:pStyle w:val="Nadpis2"/>
      </w:pPr>
      <w:r>
        <w:t>S ohledem na skutečnost, že Nájemce má zájem, aby byla Pronajímatelem v rámci kompletní rekonstrukce čtyř sestav sociálních zařízení (4xpánské a 4xdámské) specifikovaných v části C. Přílohy B Dodatku č. 6 provedena rekonstrukce sociálních zařízení ve 3. patře (4. nadzemním podlaží) východním křídle namísto rekonstrukce ve 4. patře (5. nadzemním podlaží) západním křídle, sjednávají Strany tímto Dodatkem č. 7 odpovídající úpravu znění Přílohy B Dodatku č. 6.</w:t>
      </w:r>
    </w:p>
    <w:p w14:paraId="69C2C7B6" w14:textId="77777777" w:rsidR="009D295F" w:rsidRDefault="001D2793">
      <w:pPr>
        <w:pStyle w:val="Nadpis1"/>
      </w:pPr>
      <w:r>
        <w:t>úprava znění PŘÍLOHY B DODATKU Č. 6</w:t>
      </w:r>
    </w:p>
    <w:p w14:paraId="70746F39" w14:textId="77777777" w:rsidR="009D295F" w:rsidRDefault="001D2793">
      <w:pPr>
        <w:pStyle w:val="Nadpis2"/>
      </w:pPr>
      <w:r>
        <w:t xml:space="preserve">Strany sjednávají, že s účinností ke dni uveřejnění tohoto Dodatku v registru smluv </w:t>
      </w:r>
      <w:proofErr w:type="gramStart"/>
      <w:r>
        <w:t>se</w:t>
      </w:r>
      <w:proofErr w:type="gramEnd"/>
      <w:r>
        <w:t xml:space="preserve"> znění Přílohy B Dodatku č. 6 nahrazuje zněním uvedeným v příloze tohoto Dodatku.</w:t>
      </w:r>
    </w:p>
    <w:p w14:paraId="3DDBE34E" w14:textId="77777777" w:rsidR="009D295F" w:rsidRDefault="001D2793">
      <w:pPr>
        <w:pStyle w:val="Nadpis1"/>
      </w:pPr>
      <w:bookmarkStart w:id="1" w:name="_Toc525098175"/>
      <w:bookmarkStart w:id="2" w:name="_Toc225158579"/>
      <w:r>
        <w:t>Platnost a účinnost Dodatku</w:t>
      </w:r>
    </w:p>
    <w:p w14:paraId="37ABFC15" w14:textId="77777777" w:rsidR="009D295F" w:rsidRDefault="001D2793">
      <w:pPr>
        <w:pStyle w:val="Nadpis2"/>
      </w:pPr>
      <w:r>
        <w:t>Tento Dodatek nabývá platnosti dnem jeho podpisu oběma Stranami a účinnosti dnem jeho uveřejnění v registru smluv.</w:t>
      </w:r>
    </w:p>
    <w:p w14:paraId="5BF275D0" w14:textId="77777777" w:rsidR="009D295F" w:rsidRDefault="001D2793">
      <w:pPr>
        <w:pStyle w:val="Nadpis2"/>
      </w:pPr>
      <w:r>
        <w:t>Tento Dodatek podléhá uveřejnění v registru smluv v souladu se zákonem č. 340/2015 Sb., o zvláštních podmínkách účinnosti některých smluv, uveřejňovaní těchto smluv a registru smluv (zákon o registru smluv) s tím, že uveřejnění tohoto Dodatku v registru smluv zajistí Nájemce, a to nejpozději do 5 (pěti) pracovních dnů ode dne uzavření tohoto Dodatku.</w:t>
      </w:r>
    </w:p>
    <w:p w14:paraId="7F9E91A3" w14:textId="77777777" w:rsidR="009D295F" w:rsidRDefault="001D2793">
      <w:pPr>
        <w:pStyle w:val="Nadpis1"/>
      </w:pPr>
      <w:r>
        <w:t>závěrečná ustanovení</w:t>
      </w:r>
    </w:p>
    <w:p w14:paraId="01461BB2" w14:textId="77777777" w:rsidR="009D295F" w:rsidRDefault="001D2793">
      <w:pPr>
        <w:pStyle w:val="Nadpis2"/>
      </w:pPr>
      <w:bookmarkStart w:id="3" w:name="_Ref450818379"/>
      <w:r>
        <w:t>Úplná dohoda o předmětu Dodatku</w:t>
      </w:r>
    </w:p>
    <w:p w14:paraId="79A12A57" w14:textId="77777777" w:rsidR="009D295F" w:rsidRDefault="001D2793">
      <w:pPr>
        <w:keepNext/>
        <w:tabs>
          <w:tab w:val="left" w:pos="567"/>
        </w:tabs>
        <w:ind w:left="1134"/>
        <w:rPr>
          <w:szCs w:val="22"/>
        </w:rPr>
      </w:pPr>
      <w:r>
        <w:rPr>
          <w:szCs w:val="22"/>
        </w:rPr>
        <w:t>Ostatní ustanovení Smlouvy výslovně nedotčená ustanoveními tohoto Dodatku zůstávají nadále v platnosti a účinnosti.</w:t>
      </w:r>
    </w:p>
    <w:p w14:paraId="36E25207" w14:textId="77777777" w:rsidR="009D295F" w:rsidRDefault="001D2793">
      <w:pPr>
        <w:pStyle w:val="Nadpis2"/>
      </w:pPr>
      <w:r>
        <w:t>Oddělitelnost</w:t>
      </w:r>
    </w:p>
    <w:p w14:paraId="2371B6AE" w14:textId="77777777" w:rsidR="009D295F" w:rsidRDefault="001D2793">
      <w:pPr>
        <w:widowControl w:val="0"/>
        <w:tabs>
          <w:tab w:val="left" w:pos="567"/>
        </w:tabs>
        <w:ind w:left="1134"/>
      </w:pPr>
      <w:r>
        <w:lastRenderedPageBreak/>
        <w:t>Pokud jakákoli podmínka, závazek nebo ustanovení tohoto Dodatku je či se stane kdykoliv v budoucnu neplatným, neúčinným, zdánlivým nebo nevynutitelným, pak je či bude neplatným, neúčinným, zdánlivým nebo nevynutitelným pouze takové ustanovení, a nebude se to žádným způsobem dotýkat platnosti, účinnosti, zdánlivosti nebo vynutitelnosti ostatních ustanovení tohoto Dodatku. Strany se zavazují jednat v dobré víře tak, aby takové vadné ustanovení nahradily ustanovením bezvadným, které bude co nejblíže vystihovat</w:t>
      </w:r>
      <w:r>
        <w:t xml:space="preserve"> ekonomický účel a obsah vadného ustanovení.</w:t>
      </w:r>
    </w:p>
    <w:p w14:paraId="5C79E669" w14:textId="77777777" w:rsidR="009D295F" w:rsidRDefault="001D2793">
      <w:pPr>
        <w:pStyle w:val="Nadpis2"/>
      </w:pPr>
      <w:r>
        <w:t>Rozhodné právo</w:t>
      </w:r>
    </w:p>
    <w:p w14:paraId="4B8922A2" w14:textId="77777777" w:rsidR="009D295F" w:rsidRDefault="001D2793">
      <w:pPr>
        <w:tabs>
          <w:tab w:val="left" w:pos="567"/>
        </w:tabs>
        <w:ind w:left="1134"/>
        <w:rPr>
          <w:szCs w:val="22"/>
        </w:rPr>
      </w:pPr>
      <w:r>
        <w:rPr>
          <w:szCs w:val="22"/>
        </w:rPr>
        <w:t>Tento Dodatek se řídí právem České republiky. Jakákoliv právo a povinnost, které nejsou výslovně upraveny v tomto Dodatku, se řídí zákonem č. 89/2012 Sb., občanský zákoník, v platném znění, v rozsahu, v jakém nebyla aplikace zákona č. 89/2012 Sb., dohodou Stran vyloučena.</w:t>
      </w:r>
    </w:p>
    <w:p w14:paraId="67028E8B" w14:textId="77777777" w:rsidR="009D295F" w:rsidRDefault="001D2793">
      <w:pPr>
        <w:pStyle w:val="Nadpis2"/>
      </w:pPr>
      <w:r>
        <w:t>Přílohy</w:t>
      </w:r>
    </w:p>
    <w:p w14:paraId="682367B3" w14:textId="77777777" w:rsidR="009D295F" w:rsidRDefault="001D2793">
      <w:pPr>
        <w:pStyle w:val="Nadpis2"/>
      </w:pPr>
      <w:r>
        <w:t>Nedílnou součástí tohoto Dodatku je jeho příloha obsahují nové znění Přílohy B Dodatku č. 6.</w:t>
      </w:r>
    </w:p>
    <w:p w14:paraId="314E2BE0" w14:textId="77777777" w:rsidR="009D295F" w:rsidRDefault="001D2793">
      <w:pPr>
        <w:pStyle w:val="Nadpis2"/>
      </w:pPr>
      <w:r>
        <w:t>Počet vyhotovení</w:t>
      </w:r>
    </w:p>
    <w:p w14:paraId="1EF5EECB" w14:textId="77777777" w:rsidR="009D295F" w:rsidRDefault="001D2793">
      <w:pPr>
        <w:keepNext/>
        <w:tabs>
          <w:tab w:val="left" w:pos="567"/>
        </w:tabs>
        <w:ind w:left="1134"/>
        <w:rPr>
          <w:szCs w:val="22"/>
        </w:rPr>
      </w:pPr>
      <w:r>
        <w:rPr>
          <w:szCs w:val="22"/>
        </w:rPr>
        <w:t>Tento Dodatek se vyhotovuje ve 2 (dvou) stejnopisech v českém jazyce, přičemž každá Strana obdrží 1 (jeden) stejnopis Smlouvy po uzavření tohoto Dodatku.</w:t>
      </w:r>
    </w:p>
    <w:p w14:paraId="5BD6A0FC" w14:textId="77777777" w:rsidR="009D295F" w:rsidRDefault="001D2793">
      <w:pPr>
        <w:spacing w:after="0"/>
        <w:jc w:val="center"/>
        <w:rPr>
          <w:szCs w:val="22"/>
        </w:rPr>
      </w:pPr>
      <w:r>
        <w:rPr>
          <w:szCs w:val="22"/>
        </w:rPr>
        <w:t>* * *</w:t>
      </w:r>
    </w:p>
    <w:bookmarkEnd w:id="1"/>
    <w:bookmarkEnd w:id="2"/>
    <w:bookmarkEnd w:id="3"/>
    <w:p w14:paraId="53EAC913" w14:textId="77777777" w:rsidR="009D295F" w:rsidRDefault="009D295F">
      <w:pPr>
        <w:spacing w:after="0"/>
        <w:jc w:val="center"/>
        <w:rPr>
          <w:sz w:val="16"/>
          <w:szCs w:val="16"/>
        </w:rPr>
      </w:pPr>
    </w:p>
    <w:p w14:paraId="7130BC76" w14:textId="77777777" w:rsidR="009D295F" w:rsidRDefault="001D2793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PODPISY OPRÁVNĚNÝCH ZÁSTUPCŮ STRAN JSOU PŘIPOJENY NA POSLEDNÍ STRANĚ TOHOTO DODATKU</w:t>
      </w:r>
    </w:p>
    <w:p w14:paraId="75BADD8B" w14:textId="77777777" w:rsidR="009D295F" w:rsidRDefault="009D295F">
      <w:pPr>
        <w:spacing w:after="0"/>
        <w:jc w:val="center"/>
        <w:rPr>
          <w:sz w:val="16"/>
          <w:szCs w:val="16"/>
        </w:rPr>
      </w:pPr>
    </w:p>
    <w:p w14:paraId="1CD2263E" w14:textId="77777777" w:rsidR="009D295F" w:rsidRDefault="009D295F">
      <w:pPr>
        <w:pageBreakBefore/>
        <w:spacing w:after="0"/>
        <w:ind w:left="709"/>
        <w:jc w:val="center"/>
        <w:rPr>
          <w:szCs w:val="22"/>
        </w:rPr>
      </w:pPr>
    </w:p>
    <w:p w14:paraId="4511DF08" w14:textId="77777777" w:rsidR="009D295F" w:rsidRDefault="001D2793">
      <w:pPr>
        <w:spacing w:after="0"/>
        <w:ind w:left="709"/>
        <w:jc w:val="center"/>
        <w:rPr>
          <w:szCs w:val="22"/>
        </w:rPr>
      </w:pPr>
      <w:r>
        <w:rPr>
          <w:szCs w:val="22"/>
        </w:rPr>
        <w:t>příloha Dodatku č. 7</w:t>
      </w:r>
    </w:p>
    <w:p w14:paraId="59A60CD2" w14:textId="77777777" w:rsidR="009D295F" w:rsidRDefault="001D2793">
      <w:pPr>
        <w:spacing w:after="0"/>
        <w:ind w:left="709"/>
        <w:jc w:val="center"/>
      </w:pPr>
      <w:r>
        <w:rPr>
          <w:szCs w:val="22"/>
        </w:rPr>
        <w:t xml:space="preserve">nové znění </w:t>
      </w:r>
      <w:r>
        <w:rPr>
          <w:szCs w:val="22"/>
          <w:u w:val="single"/>
        </w:rPr>
        <w:t>Přílohy B</w:t>
      </w:r>
      <w:r>
        <w:rPr>
          <w:szCs w:val="22"/>
        </w:rPr>
        <w:t xml:space="preserve"> Dodatku č. 6 </w:t>
      </w:r>
    </w:p>
    <w:p w14:paraId="5246C91A" w14:textId="77777777" w:rsidR="009D295F" w:rsidRDefault="009D295F">
      <w:pPr>
        <w:spacing w:after="0"/>
        <w:ind w:left="709"/>
        <w:jc w:val="center"/>
        <w:rPr>
          <w:szCs w:val="22"/>
        </w:rPr>
      </w:pPr>
    </w:p>
    <w:p w14:paraId="009DCB1B" w14:textId="77777777" w:rsidR="009D295F" w:rsidRDefault="001D2793">
      <w:pPr>
        <w:spacing w:after="0"/>
        <w:ind w:left="709"/>
        <w:jc w:val="center"/>
        <w:rPr>
          <w:szCs w:val="22"/>
        </w:rPr>
      </w:pPr>
      <w:r>
        <w:rPr>
          <w:szCs w:val="22"/>
        </w:rPr>
        <w:t>Příloha B</w:t>
      </w:r>
    </w:p>
    <w:p w14:paraId="40858A6C" w14:textId="77777777" w:rsidR="009D295F" w:rsidRDefault="001D2793">
      <w:pPr>
        <w:spacing w:after="0"/>
        <w:ind w:left="709"/>
        <w:jc w:val="center"/>
        <w:rPr>
          <w:szCs w:val="22"/>
        </w:rPr>
      </w:pPr>
      <w:r>
        <w:rPr>
          <w:szCs w:val="22"/>
        </w:rPr>
        <w:t>Podmínky realizace stavebních úprav zajišťovaných Pronajímatelem</w:t>
      </w:r>
    </w:p>
    <w:p w14:paraId="5E1C333E" w14:textId="77777777" w:rsidR="009D295F" w:rsidRDefault="009D295F">
      <w:pPr>
        <w:spacing w:after="0"/>
        <w:ind w:left="709"/>
        <w:rPr>
          <w:szCs w:val="22"/>
        </w:rPr>
      </w:pPr>
    </w:p>
    <w:p w14:paraId="7AE6A6F0" w14:textId="77777777" w:rsidR="009D295F" w:rsidRDefault="001D2793">
      <w:pPr>
        <w:pStyle w:val="Odstavecseseznamem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vyrovnání (zdvojených) podlah v koridorech</w:t>
      </w:r>
    </w:p>
    <w:p w14:paraId="7D9F4815" w14:textId="77777777" w:rsidR="009D295F" w:rsidRDefault="009D295F">
      <w:pPr>
        <w:pStyle w:val="Odstavecseseznamem"/>
        <w:spacing w:after="0"/>
        <w:rPr>
          <w:szCs w:val="22"/>
        </w:rPr>
      </w:pPr>
    </w:p>
    <w:p w14:paraId="629D5A6B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výměna či oprava stojných nožek, případně podlahových desek; za ponechání stávající podlahové krytiny</w:t>
      </w:r>
    </w:p>
    <w:p w14:paraId="49A2A066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odhadované celkové náklady – </w:t>
      </w:r>
      <w:proofErr w:type="gramStart"/>
      <w:r>
        <w:rPr>
          <w:szCs w:val="22"/>
        </w:rPr>
        <w:t>700.000,-</w:t>
      </w:r>
      <w:proofErr w:type="gramEnd"/>
      <w:r>
        <w:rPr>
          <w:szCs w:val="22"/>
        </w:rPr>
        <w:t xml:space="preserve"> Kč (včetně DPH)</w:t>
      </w:r>
    </w:p>
    <w:p w14:paraId="7EF0479C" w14:textId="77777777" w:rsidR="009D295F" w:rsidRDefault="009D295F">
      <w:pPr>
        <w:pStyle w:val="Odstavecseseznamem"/>
        <w:spacing w:after="0"/>
        <w:rPr>
          <w:szCs w:val="22"/>
        </w:rPr>
      </w:pPr>
    </w:p>
    <w:p w14:paraId="62F834B7" w14:textId="77777777" w:rsidR="009D295F" w:rsidRDefault="009D295F">
      <w:pPr>
        <w:pStyle w:val="Odstavecseseznamem"/>
        <w:spacing w:after="0"/>
        <w:rPr>
          <w:szCs w:val="22"/>
        </w:rPr>
      </w:pPr>
    </w:p>
    <w:p w14:paraId="670B32DC" w14:textId="77777777" w:rsidR="009D295F" w:rsidRDefault="009D295F">
      <w:pPr>
        <w:pStyle w:val="Odstavecseseznamem"/>
        <w:spacing w:after="0"/>
        <w:rPr>
          <w:szCs w:val="22"/>
        </w:rPr>
      </w:pPr>
    </w:p>
    <w:p w14:paraId="33AB0EB8" w14:textId="77777777" w:rsidR="009D295F" w:rsidRDefault="009D295F">
      <w:pPr>
        <w:pStyle w:val="Odstavecseseznamem"/>
        <w:spacing w:after="0"/>
        <w:rPr>
          <w:szCs w:val="22"/>
        </w:rPr>
      </w:pPr>
    </w:p>
    <w:p w14:paraId="446078CB" w14:textId="77777777" w:rsidR="009D295F" w:rsidRDefault="009D295F">
      <w:pPr>
        <w:pStyle w:val="Odstavecseseznamem"/>
        <w:spacing w:after="0"/>
        <w:rPr>
          <w:szCs w:val="22"/>
        </w:rPr>
      </w:pPr>
    </w:p>
    <w:p w14:paraId="4406D651" w14:textId="77777777" w:rsidR="009D295F" w:rsidRDefault="001D2793">
      <w:pPr>
        <w:pStyle w:val="Odstavecseseznamem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opravy a úpravy standardních (minerálních) podhledů</w:t>
      </w:r>
    </w:p>
    <w:p w14:paraId="5558C1B5" w14:textId="77777777" w:rsidR="009D295F" w:rsidRDefault="009D295F">
      <w:pPr>
        <w:pStyle w:val="Odstavecseseznamem"/>
        <w:spacing w:after="0"/>
        <w:rPr>
          <w:szCs w:val="22"/>
        </w:rPr>
      </w:pPr>
    </w:p>
    <w:p w14:paraId="490C2641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výměna poškozených kazet</w:t>
      </w:r>
    </w:p>
    <w:p w14:paraId="72245BDC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odhadované celkové náklady – </w:t>
      </w:r>
      <w:proofErr w:type="gramStart"/>
      <w:r>
        <w:rPr>
          <w:szCs w:val="22"/>
        </w:rPr>
        <w:t>300.000,-</w:t>
      </w:r>
      <w:proofErr w:type="gramEnd"/>
      <w:r>
        <w:rPr>
          <w:szCs w:val="22"/>
        </w:rPr>
        <w:t xml:space="preserve"> Kč (včetně DPH)</w:t>
      </w:r>
    </w:p>
    <w:p w14:paraId="77E4F55D" w14:textId="77777777" w:rsidR="009D295F" w:rsidRDefault="009D295F">
      <w:pPr>
        <w:pStyle w:val="Odstavecseseznamem"/>
        <w:spacing w:after="0"/>
        <w:rPr>
          <w:szCs w:val="22"/>
        </w:rPr>
      </w:pPr>
    </w:p>
    <w:p w14:paraId="25A5E719" w14:textId="77777777" w:rsidR="009D295F" w:rsidRDefault="009D295F">
      <w:pPr>
        <w:pStyle w:val="Odstavecseseznamem"/>
        <w:spacing w:after="0"/>
        <w:rPr>
          <w:szCs w:val="22"/>
        </w:rPr>
      </w:pPr>
    </w:p>
    <w:p w14:paraId="689F7CBA" w14:textId="77777777" w:rsidR="009D295F" w:rsidRDefault="009D295F">
      <w:pPr>
        <w:pStyle w:val="Odstavecseseznamem"/>
        <w:spacing w:after="0"/>
        <w:rPr>
          <w:szCs w:val="22"/>
        </w:rPr>
      </w:pPr>
    </w:p>
    <w:p w14:paraId="4980D2D2" w14:textId="77777777" w:rsidR="009D295F" w:rsidRDefault="009D295F">
      <w:pPr>
        <w:pStyle w:val="Odstavecseseznamem"/>
        <w:spacing w:after="0"/>
        <w:rPr>
          <w:szCs w:val="22"/>
        </w:rPr>
      </w:pPr>
    </w:p>
    <w:p w14:paraId="6E24A7AA" w14:textId="77777777" w:rsidR="009D295F" w:rsidRDefault="009D295F">
      <w:pPr>
        <w:pStyle w:val="Odstavecseseznamem"/>
        <w:spacing w:after="0"/>
        <w:rPr>
          <w:szCs w:val="22"/>
        </w:rPr>
      </w:pPr>
    </w:p>
    <w:p w14:paraId="0F411BBF" w14:textId="77777777" w:rsidR="009D295F" w:rsidRDefault="001D2793">
      <w:pPr>
        <w:pStyle w:val="Odstavecseseznamem"/>
        <w:numPr>
          <w:ilvl w:val="0"/>
          <w:numId w:val="3"/>
        </w:numPr>
        <w:spacing w:after="0"/>
        <w:rPr>
          <w:szCs w:val="22"/>
        </w:rPr>
      </w:pPr>
      <w:r>
        <w:rPr>
          <w:szCs w:val="22"/>
        </w:rPr>
        <w:t>kompletní rekonstrukce čtyř sestav sociálních zařízení (4xpánské a 4xdámské)</w:t>
      </w:r>
    </w:p>
    <w:p w14:paraId="4FD232F2" w14:textId="77777777" w:rsidR="009D295F" w:rsidRDefault="009D295F">
      <w:pPr>
        <w:pStyle w:val="Odstavecseseznamem"/>
        <w:rPr>
          <w:szCs w:val="22"/>
        </w:rPr>
      </w:pPr>
    </w:p>
    <w:p w14:paraId="4DF94F78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výměna povrchů a zařizovacích předmětů ve standardu, ve kterém byla provedena rekonstrukce sociálních zařízení v 9. patře (10. nadzemním podlaží) – východní křídlo</w:t>
      </w:r>
    </w:p>
    <w:p w14:paraId="706A9B76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>rekonstrukce proběhne v:</w:t>
      </w:r>
    </w:p>
    <w:p w14:paraId="44DAFB26" w14:textId="77777777" w:rsidR="009D295F" w:rsidRDefault="001D2793">
      <w:pPr>
        <w:pStyle w:val="Odstavecseseznamem"/>
        <w:numPr>
          <w:ilvl w:val="1"/>
          <w:numId w:val="4"/>
        </w:numPr>
        <w:spacing w:after="0"/>
        <w:rPr>
          <w:szCs w:val="22"/>
        </w:rPr>
      </w:pPr>
      <w:r>
        <w:rPr>
          <w:szCs w:val="22"/>
        </w:rPr>
        <w:t>2. patro (3. nadzemní podlaží) – západní křídlo</w:t>
      </w:r>
    </w:p>
    <w:p w14:paraId="1FE1AF42" w14:textId="77777777" w:rsidR="009D295F" w:rsidRDefault="001D2793">
      <w:pPr>
        <w:pStyle w:val="Odstavecseseznamem"/>
        <w:numPr>
          <w:ilvl w:val="1"/>
          <w:numId w:val="4"/>
        </w:numPr>
        <w:spacing w:after="0"/>
        <w:rPr>
          <w:szCs w:val="22"/>
        </w:rPr>
      </w:pPr>
      <w:r>
        <w:rPr>
          <w:szCs w:val="22"/>
        </w:rPr>
        <w:t>3. patro (4. nadzemní podlaží) – západní křídlo</w:t>
      </w:r>
    </w:p>
    <w:p w14:paraId="300D3146" w14:textId="77777777" w:rsidR="009D295F" w:rsidRDefault="001D2793">
      <w:pPr>
        <w:pStyle w:val="Odstavecseseznamem"/>
        <w:numPr>
          <w:ilvl w:val="1"/>
          <w:numId w:val="4"/>
        </w:numPr>
        <w:spacing w:after="0"/>
        <w:rPr>
          <w:b/>
          <w:szCs w:val="22"/>
        </w:rPr>
      </w:pPr>
      <w:r>
        <w:rPr>
          <w:b/>
          <w:szCs w:val="22"/>
        </w:rPr>
        <w:t>3. patro (4. nadzemní podlaží) – východní křídlo</w:t>
      </w:r>
    </w:p>
    <w:p w14:paraId="05280A0C" w14:textId="77777777" w:rsidR="009D295F" w:rsidRDefault="001D2793">
      <w:pPr>
        <w:pStyle w:val="Odstavecseseznamem"/>
        <w:numPr>
          <w:ilvl w:val="1"/>
          <w:numId w:val="4"/>
        </w:numPr>
        <w:spacing w:after="0"/>
        <w:rPr>
          <w:szCs w:val="22"/>
        </w:rPr>
      </w:pPr>
      <w:r>
        <w:rPr>
          <w:szCs w:val="22"/>
        </w:rPr>
        <w:t>5. patro (6. nadzemní podlaží) – západní křídlo</w:t>
      </w:r>
    </w:p>
    <w:p w14:paraId="6C162A00" w14:textId="77777777" w:rsidR="009D295F" w:rsidRDefault="001D2793">
      <w:pPr>
        <w:pStyle w:val="Odstavecseseznamem"/>
        <w:numPr>
          <w:ilvl w:val="0"/>
          <w:numId w:val="4"/>
        </w:numPr>
        <w:spacing w:after="0"/>
        <w:rPr>
          <w:szCs w:val="22"/>
        </w:rPr>
      </w:pPr>
      <w:r>
        <w:rPr>
          <w:szCs w:val="22"/>
        </w:rPr>
        <w:t xml:space="preserve">odhadované celkové náklady – </w:t>
      </w:r>
      <w:proofErr w:type="gramStart"/>
      <w:r>
        <w:rPr>
          <w:szCs w:val="22"/>
        </w:rPr>
        <w:t>5.000.000,-</w:t>
      </w:r>
      <w:proofErr w:type="gramEnd"/>
      <w:r>
        <w:rPr>
          <w:szCs w:val="22"/>
        </w:rPr>
        <w:t xml:space="preserve"> Kč (včetně DPH)</w:t>
      </w:r>
    </w:p>
    <w:p w14:paraId="29563252" w14:textId="77777777" w:rsidR="009D295F" w:rsidRDefault="009D295F">
      <w:pPr>
        <w:pStyle w:val="Odstavecseseznamem"/>
        <w:spacing w:after="0"/>
        <w:rPr>
          <w:szCs w:val="22"/>
        </w:rPr>
      </w:pPr>
    </w:p>
    <w:p w14:paraId="6AD5320D" w14:textId="77777777" w:rsidR="009D295F" w:rsidRDefault="009D295F">
      <w:pPr>
        <w:pStyle w:val="Odstavecseseznamem"/>
        <w:spacing w:after="0"/>
        <w:rPr>
          <w:szCs w:val="22"/>
        </w:rPr>
      </w:pPr>
    </w:p>
    <w:p w14:paraId="0FEE1AC1" w14:textId="77777777" w:rsidR="009D295F" w:rsidRDefault="009D295F">
      <w:pPr>
        <w:pStyle w:val="Odstavecseseznamem"/>
        <w:spacing w:after="0"/>
        <w:rPr>
          <w:szCs w:val="22"/>
        </w:rPr>
      </w:pPr>
    </w:p>
    <w:p w14:paraId="3C8525AC" w14:textId="77777777" w:rsidR="009D295F" w:rsidRDefault="009D295F">
      <w:pPr>
        <w:pageBreakBefore/>
        <w:overflowPunct/>
        <w:autoSpaceDE/>
        <w:spacing w:after="0"/>
        <w:jc w:val="left"/>
        <w:textAlignment w:val="auto"/>
        <w:rPr>
          <w:szCs w:val="22"/>
        </w:rPr>
      </w:pPr>
    </w:p>
    <w:p w14:paraId="5B02FCDE" w14:textId="77777777" w:rsidR="009D295F" w:rsidRDefault="001D2793">
      <w:pPr>
        <w:spacing w:after="0"/>
        <w:ind w:left="709"/>
      </w:pPr>
      <w:r>
        <w:t xml:space="preserve">Strany si tento Dodatek přečetly, s jeho obsahem souhlasí, a na důkaz toho </w:t>
      </w:r>
      <w:r>
        <w:t>připojují oprávnění zástupci Stran své podpisy.</w:t>
      </w:r>
    </w:p>
    <w:p w14:paraId="1CABB222" w14:textId="77777777" w:rsidR="009D295F" w:rsidRDefault="009D295F">
      <w:pPr>
        <w:spacing w:after="0"/>
        <w:ind w:left="709"/>
        <w:rPr>
          <w:szCs w:val="22"/>
        </w:rPr>
      </w:pPr>
    </w:p>
    <w:p w14:paraId="01DD81E5" w14:textId="77777777" w:rsidR="009D295F" w:rsidRDefault="001D2793">
      <w:pPr>
        <w:spacing w:after="0"/>
        <w:ind w:left="709"/>
      </w:pPr>
      <w:r>
        <w:rPr>
          <w:szCs w:val="22"/>
        </w:rPr>
        <w:t xml:space="preserve">V Praze dne </w:t>
      </w:r>
      <w:r>
        <w:rPr>
          <w:bCs/>
          <w:szCs w:val="22"/>
        </w:rPr>
        <w:t>_______ 2025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  <w:t>V Praze dne 15. 5. 2025</w:t>
      </w:r>
    </w:p>
    <w:p w14:paraId="29CCE2DE" w14:textId="77777777" w:rsidR="009D295F" w:rsidRDefault="009D295F">
      <w:pPr>
        <w:spacing w:after="0"/>
        <w:ind w:left="709"/>
      </w:pPr>
    </w:p>
    <w:p w14:paraId="34282CBA" w14:textId="77777777" w:rsidR="009D295F" w:rsidRDefault="009D295F">
      <w:pPr>
        <w:spacing w:after="0"/>
        <w:ind w:left="709"/>
      </w:pPr>
    </w:p>
    <w:p w14:paraId="0448B065" w14:textId="77777777" w:rsidR="009D295F" w:rsidRDefault="009D295F">
      <w:pPr>
        <w:spacing w:after="0"/>
        <w:ind w:left="709"/>
      </w:pPr>
    </w:p>
    <w:p w14:paraId="73A3B77A" w14:textId="77777777" w:rsidR="009D295F" w:rsidRDefault="001D2793">
      <w:pPr>
        <w:spacing w:after="0"/>
        <w:ind w:left="709"/>
        <w:rPr>
          <w:sz w:val="21"/>
          <w:szCs w:val="21"/>
        </w:rPr>
      </w:pPr>
      <w:r>
        <w:rPr>
          <w:sz w:val="21"/>
          <w:szCs w:val="21"/>
        </w:rPr>
        <w:t>__________________________________</w:t>
      </w:r>
      <w:r>
        <w:rPr>
          <w:sz w:val="21"/>
          <w:szCs w:val="21"/>
        </w:rPr>
        <w:tab/>
        <w:t>__________________________________</w:t>
      </w:r>
    </w:p>
    <w:p w14:paraId="6AC2CAA3" w14:textId="77777777" w:rsidR="009D295F" w:rsidRDefault="001D2793">
      <w:pPr>
        <w:spacing w:after="0"/>
        <w:ind w:left="709"/>
      </w:pPr>
      <w:r>
        <w:rPr>
          <w:rStyle w:val="preformatted"/>
          <w:b/>
          <w:sz w:val="18"/>
          <w:szCs w:val="18"/>
        </w:rPr>
        <w:t>Nemovitostní společnost Olbrachtova 9, s.r.o.</w:t>
      </w:r>
      <w:r>
        <w:rPr>
          <w:rStyle w:val="preformatted"/>
          <w:b/>
          <w:sz w:val="18"/>
          <w:szCs w:val="18"/>
        </w:rPr>
        <w:tab/>
      </w:r>
      <w:r>
        <w:rPr>
          <w:rStyle w:val="platne1"/>
          <w:b/>
          <w:sz w:val="18"/>
          <w:szCs w:val="18"/>
        </w:rPr>
        <w:t>Státní fond životního prostředí České republiky</w:t>
      </w:r>
    </w:p>
    <w:p w14:paraId="4DE4D137" w14:textId="77777777" w:rsidR="009D295F" w:rsidRDefault="001D2793">
      <w:pPr>
        <w:spacing w:after="0"/>
        <w:ind w:firstLine="709"/>
      </w:pPr>
      <w:r>
        <w:rPr>
          <w:rStyle w:val="platne1"/>
          <w:szCs w:val="22"/>
        </w:rPr>
        <w:t xml:space="preserve">Jaroslav </w:t>
      </w:r>
      <w:proofErr w:type="spellStart"/>
      <w:r>
        <w:rPr>
          <w:rStyle w:val="platne1"/>
          <w:szCs w:val="22"/>
        </w:rPr>
        <w:t>Mida</w:t>
      </w:r>
      <w:proofErr w:type="spellEnd"/>
      <w:r>
        <w:rPr>
          <w:rStyle w:val="platne1"/>
          <w:szCs w:val="22"/>
        </w:rPr>
        <w:t xml:space="preserve"> </w:t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bCs/>
          <w:szCs w:val="22"/>
        </w:rPr>
        <w:t>Ing. Petr Valdman</w:t>
      </w:r>
    </w:p>
    <w:p w14:paraId="5E3B0A70" w14:textId="77777777" w:rsidR="009D295F" w:rsidRDefault="001D2793">
      <w:pPr>
        <w:spacing w:after="0"/>
        <w:ind w:firstLine="709"/>
      </w:pPr>
      <w:r>
        <w:rPr>
          <w:rStyle w:val="platne1"/>
          <w:szCs w:val="22"/>
        </w:rPr>
        <w:t>jednatel</w:t>
      </w:r>
      <w:r>
        <w:rPr>
          <w:rStyle w:val="platne1"/>
          <w:szCs w:val="22"/>
        </w:rPr>
        <w:tab/>
        <w:t xml:space="preserve"> </w:t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</w:r>
      <w:r>
        <w:rPr>
          <w:rStyle w:val="platne1"/>
          <w:szCs w:val="22"/>
        </w:rPr>
        <w:tab/>
        <w:t>ředitel</w:t>
      </w:r>
    </w:p>
    <w:p w14:paraId="1A0C5444" w14:textId="77777777" w:rsidR="009D295F" w:rsidRDefault="009D295F">
      <w:pPr>
        <w:spacing w:after="0"/>
        <w:ind w:left="720"/>
        <w:rPr>
          <w:bCs/>
          <w:sz w:val="21"/>
          <w:szCs w:val="21"/>
          <w:shd w:val="clear" w:color="auto" w:fill="FFFF00"/>
        </w:rPr>
      </w:pPr>
    </w:p>
    <w:p w14:paraId="6609658E" w14:textId="77777777" w:rsidR="009D295F" w:rsidRDefault="009D295F">
      <w:pPr>
        <w:spacing w:after="0"/>
        <w:ind w:left="720"/>
        <w:rPr>
          <w:bCs/>
          <w:sz w:val="21"/>
          <w:szCs w:val="21"/>
          <w:shd w:val="clear" w:color="auto" w:fill="FFFF00"/>
        </w:rPr>
      </w:pPr>
    </w:p>
    <w:p w14:paraId="1189E2EA" w14:textId="77777777" w:rsidR="009D295F" w:rsidRDefault="009D295F">
      <w:pPr>
        <w:spacing w:after="0"/>
        <w:ind w:left="720"/>
        <w:rPr>
          <w:bCs/>
          <w:sz w:val="21"/>
          <w:szCs w:val="21"/>
          <w:shd w:val="clear" w:color="auto" w:fill="FFFF00"/>
        </w:rPr>
      </w:pPr>
    </w:p>
    <w:p w14:paraId="71D2D4D1" w14:textId="77777777" w:rsidR="009D295F" w:rsidRDefault="009D295F">
      <w:pPr>
        <w:spacing w:after="0"/>
        <w:ind w:left="709"/>
        <w:rPr>
          <w:sz w:val="21"/>
          <w:szCs w:val="21"/>
        </w:rPr>
      </w:pPr>
    </w:p>
    <w:p w14:paraId="403B3D67" w14:textId="77777777" w:rsidR="009D295F" w:rsidRDefault="009D295F">
      <w:pPr>
        <w:spacing w:after="0"/>
        <w:ind w:left="709"/>
        <w:rPr>
          <w:sz w:val="21"/>
        </w:rPr>
      </w:pPr>
    </w:p>
    <w:sectPr w:rsidR="009D295F">
      <w:headerReference w:type="default" r:id="rId7"/>
      <w:footerReference w:type="default" r:id="rId8"/>
      <w:pgSz w:w="11907" w:h="16840"/>
      <w:pgMar w:top="1418" w:right="1418" w:bottom="1418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4D167" w14:textId="77777777" w:rsidR="001D2793" w:rsidRDefault="001D2793">
      <w:pPr>
        <w:spacing w:after="0"/>
      </w:pPr>
      <w:r>
        <w:separator/>
      </w:r>
    </w:p>
  </w:endnote>
  <w:endnote w:type="continuationSeparator" w:id="0">
    <w:p w14:paraId="37D03AD2" w14:textId="77777777" w:rsidR="001D2793" w:rsidRDefault="001D2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1F6B" w14:textId="77777777" w:rsidR="001D2793" w:rsidRDefault="001D2793">
    <w:pPr>
      <w:pStyle w:val="Zpat"/>
      <w:jc w:val="center"/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E9BC" w14:textId="77777777" w:rsidR="001D2793" w:rsidRDefault="001D279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5039713" w14:textId="77777777" w:rsidR="001D2793" w:rsidRDefault="001D279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E0D48" w14:textId="77777777" w:rsidR="001D2793" w:rsidRDefault="001D27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64ADE"/>
    <w:multiLevelType w:val="multilevel"/>
    <w:tmpl w:val="BD4C8358"/>
    <w:styleLink w:val="WWOutlineListStyle1"/>
    <w:lvl w:ilvl="0">
      <w:start w:val="1"/>
      <w:numFmt w:val="decimal"/>
      <w:pStyle w:val="Nadpis1"/>
      <w:lvlText w:val="%1.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1134" w:hanging="708"/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pStyle w:val="Nadpis4"/>
      <w:lvlText w:val="%1.%2.%3.%4.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Nadpis5"/>
      <w:lvlText w:val="%1.%2.%3.%4.%5.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Nadpis6"/>
      <w:lvlText w:val="%1.%2.%3.%4.%5.%6.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pStyle w:val="Nadpis7"/>
      <w:lvlText w:val="%1.%2.%3.%4.%5.%6.%7.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Nadpis8"/>
      <w:lvlText w:val="%1.%2.%3.%4.%5.%6.%7.%8.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pStyle w:val="Nadpis9"/>
      <w:lvlText w:val="%1.%2.%3.%4.%5.%6.%7.%8.%9.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30666D4A"/>
    <w:multiLevelType w:val="multilevel"/>
    <w:tmpl w:val="12D2502E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" w15:restartNumberingAfterBreak="0">
    <w:nsid w:val="31607926"/>
    <w:multiLevelType w:val="multilevel"/>
    <w:tmpl w:val="E0D299AE"/>
    <w:styleLink w:val="WWOutlineListStyle"/>
    <w:lvl w:ilvl="0">
      <w:start w:val="1"/>
      <w:numFmt w:val="decimal"/>
      <w:lvlText w:val="%1.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34" w:hanging="708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18" w:hanging="708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cs="Times New Roman"/>
      </w:rPr>
    </w:lvl>
  </w:abstractNum>
  <w:abstractNum w:abstractNumId="3" w15:restartNumberingAfterBreak="0">
    <w:nsid w:val="332E2038"/>
    <w:multiLevelType w:val="multilevel"/>
    <w:tmpl w:val="5E9CF346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736439873">
    <w:abstractNumId w:val="0"/>
  </w:num>
  <w:num w:numId="2" w16cid:durableId="163320315">
    <w:abstractNumId w:val="2"/>
  </w:num>
  <w:num w:numId="3" w16cid:durableId="1021010475">
    <w:abstractNumId w:val="3"/>
  </w:num>
  <w:num w:numId="4" w16cid:durableId="1088968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D295F"/>
    <w:rsid w:val="001D2793"/>
    <w:rsid w:val="009D295F"/>
    <w:rsid w:val="00D7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8605"/>
  <w15:docId w15:val="{BB975878-217C-43E3-941B-DF46D300F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overflowPunct w:val="0"/>
      <w:autoSpaceDE w:val="0"/>
      <w:spacing w:after="240"/>
      <w:jc w:val="both"/>
      <w:textAlignment w:val="baseline"/>
    </w:pPr>
    <w:rPr>
      <w:rFonts w:ascii="Arial" w:hAnsi="Arial" w:cs="Arial"/>
      <w:sz w:val="22"/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numPr>
        <w:numId w:val="1"/>
      </w:numPr>
      <w:tabs>
        <w:tab w:val="left" w:pos="-1416"/>
      </w:tabs>
      <w:spacing w:before="120"/>
      <w:outlineLvl w:val="0"/>
    </w:pPr>
    <w:rPr>
      <w:b/>
      <w:caps/>
    </w:rPr>
  </w:style>
  <w:style w:type="paragraph" w:styleId="Nadpis2">
    <w:name w:val="heading 2"/>
    <w:basedOn w:val="Normln"/>
    <w:uiPriority w:val="9"/>
    <w:unhideWhenUsed/>
    <w:qFormat/>
    <w:pPr>
      <w:numPr>
        <w:ilvl w:val="1"/>
        <w:numId w:val="1"/>
      </w:numPr>
      <w:tabs>
        <w:tab w:val="left" w:pos="-852"/>
      </w:tabs>
      <w:outlineLvl w:val="1"/>
    </w:pPr>
  </w:style>
  <w:style w:type="paragraph" w:styleId="Nadpis3">
    <w:name w:val="heading 3"/>
    <w:basedOn w:val="Normln"/>
    <w:uiPriority w:val="9"/>
    <w:semiHidden/>
    <w:unhideWhenUsed/>
    <w:qFormat/>
    <w:pPr>
      <w:numPr>
        <w:ilvl w:val="2"/>
        <w:numId w:val="1"/>
      </w:numPr>
      <w:tabs>
        <w:tab w:val="left" w:pos="-2836"/>
      </w:tabs>
      <w:outlineLvl w:val="2"/>
    </w:pPr>
  </w:style>
  <w:style w:type="paragraph" w:styleId="Nadpis4">
    <w:name w:val="heading 4"/>
    <w:basedOn w:val="Normln"/>
    <w:next w:val="Normln"/>
    <w:uiPriority w:val="9"/>
    <w:semiHidden/>
    <w:unhideWhenUsed/>
    <w:qFormat/>
    <w:pPr>
      <w:numPr>
        <w:ilvl w:val="3"/>
        <w:numId w:val="1"/>
      </w:numPr>
      <w:tabs>
        <w:tab w:val="left" w:pos="-5664"/>
      </w:tabs>
      <w:outlineLvl w:val="3"/>
    </w:pPr>
  </w:style>
  <w:style w:type="paragraph" w:styleId="Nadpis5">
    <w:name w:val="heading 5"/>
    <w:basedOn w:val="Normln"/>
    <w:next w:val="Normln"/>
    <w:uiPriority w:val="9"/>
    <w:semiHidden/>
    <w:unhideWhenUsed/>
    <w:qFormat/>
    <w:pPr>
      <w:numPr>
        <w:ilvl w:val="4"/>
        <w:numId w:val="1"/>
      </w:numPr>
      <w:tabs>
        <w:tab w:val="left" w:pos="-7080"/>
      </w:tabs>
      <w:outlineLvl w:val="4"/>
    </w:pPr>
  </w:style>
  <w:style w:type="paragraph" w:styleId="Nadpis6">
    <w:name w:val="heading 6"/>
    <w:basedOn w:val="Normln"/>
    <w:next w:val="Normln"/>
    <w:uiPriority w:val="9"/>
    <w:semiHidden/>
    <w:unhideWhenUsed/>
    <w:qFormat/>
    <w:pPr>
      <w:numPr>
        <w:ilvl w:val="5"/>
        <w:numId w:val="1"/>
      </w:numPr>
      <w:tabs>
        <w:tab w:val="left" w:pos="-8496"/>
      </w:tabs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pPr>
      <w:numPr>
        <w:ilvl w:val="6"/>
        <w:numId w:val="1"/>
      </w:numPr>
      <w:tabs>
        <w:tab w:val="left" w:pos="-9912"/>
      </w:tabs>
      <w:spacing w:before="240" w:after="60"/>
      <w:outlineLvl w:val="6"/>
    </w:pPr>
    <w:rPr>
      <w:sz w:val="20"/>
    </w:rPr>
  </w:style>
  <w:style w:type="paragraph" w:styleId="Nadpis8">
    <w:name w:val="heading 8"/>
    <w:basedOn w:val="Normln"/>
    <w:next w:val="Normln"/>
    <w:pPr>
      <w:numPr>
        <w:ilvl w:val="7"/>
        <w:numId w:val="1"/>
      </w:numPr>
      <w:tabs>
        <w:tab w:val="left" w:pos="-11328"/>
      </w:tabs>
      <w:spacing w:before="240" w:after="60"/>
      <w:outlineLvl w:val="7"/>
    </w:pPr>
    <w:rPr>
      <w:i/>
      <w:sz w:val="20"/>
    </w:rPr>
  </w:style>
  <w:style w:type="paragraph" w:styleId="Nadpis9">
    <w:name w:val="heading 9"/>
    <w:basedOn w:val="Normln"/>
    <w:next w:val="Normln"/>
    <w:pPr>
      <w:numPr>
        <w:ilvl w:val="8"/>
        <w:numId w:val="1"/>
      </w:numPr>
      <w:tabs>
        <w:tab w:val="left" w:pos="-12744"/>
      </w:tabs>
      <w:spacing w:before="240" w:after="60"/>
      <w:outlineLvl w:val="8"/>
    </w:pPr>
    <w:rPr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pPr>
      <w:numPr>
        <w:numId w:val="1"/>
      </w:numPr>
    </w:pPr>
  </w:style>
  <w:style w:type="paragraph" w:styleId="Zhlav">
    <w:name w:val="header"/>
    <w:basedOn w:val="Normln"/>
    <w:pPr>
      <w:tabs>
        <w:tab w:val="center" w:pos="4253"/>
        <w:tab w:val="right" w:pos="8505"/>
      </w:tabs>
      <w:spacing w:after="0"/>
      <w:jc w:val="left"/>
    </w:pPr>
  </w:style>
  <w:style w:type="paragraph" w:styleId="Zpat">
    <w:name w:val="footer"/>
    <w:basedOn w:val="Normln"/>
    <w:pPr>
      <w:spacing w:after="0"/>
      <w:jc w:val="left"/>
    </w:pPr>
    <w:rPr>
      <w:rFonts w:cs="Times New Roman"/>
    </w:rPr>
  </w:style>
  <w:style w:type="character" w:styleId="slostrnky">
    <w:name w:val="page number"/>
    <w:rPr>
      <w:rFonts w:ascii="Times New Roman" w:hAnsi="Times New Roman" w:cs="Times New Roman"/>
    </w:rPr>
  </w:style>
  <w:style w:type="paragraph" w:styleId="Textmakra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 w:val="0"/>
      <w:autoSpaceDE w:val="0"/>
      <w:textAlignment w:val="baseline"/>
    </w:pPr>
    <w:rPr>
      <w:sz w:val="16"/>
      <w:lang w:val="en-GB" w:eastAsia="en-US"/>
    </w:rPr>
  </w:style>
  <w:style w:type="paragraph" w:customStyle="1" w:styleId="Title1">
    <w:name w:val="Title 1"/>
    <w:basedOn w:val="Normln"/>
    <w:next w:val="Normln"/>
    <w:pPr>
      <w:keepNext/>
      <w:spacing w:before="240"/>
      <w:jc w:val="center"/>
    </w:pPr>
    <w:rPr>
      <w:b/>
      <w:caps/>
      <w:sz w:val="28"/>
    </w:rPr>
  </w:style>
  <w:style w:type="paragraph" w:customStyle="1" w:styleId="Title2">
    <w:name w:val="Title 2"/>
    <w:basedOn w:val="Normln"/>
    <w:next w:val="Normln"/>
    <w:pPr>
      <w:keepNext/>
      <w:jc w:val="left"/>
    </w:pPr>
    <w:rPr>
      <w:b/>
      <w:u w:val="single"/>
    </w:rPr>
  </w:style>
  <w:style w:type="paragraph" w:customStyle="1" w:styleId="Title3">
    <w:name w:val="Title 3"/>
    <w:basedOn w:val="Normln"/>
    <w:next w:val="Normln"/>
    <w:pPr>
      <w:keepNext/>
      <w:jc w:val="left"/>
    </w:pPr>
    <w:rPr>
      <w:b/>
    </w:rPr>
  </w:style>
  <w:style w:type="paragraph" w:customStyle="1" w:styleId="Cover">
    <w:name w:val="Cover"/>
    <w:basedOn w:val="Normln"/>
    <w:pPr>
      <w:jc w:val="center"/>
    </w:pPr>
    <w:rPr>
      <w:b/>
      <w:caps/>
      <w:sz w:val="48"/>
    </w:rPr>
  </w:style>
  <w:style w:type="paragraph" w:styleId="Normlnodsazen">
    <w:name w:val="Normal Indent"/>
    <w:basedOn w:val="Normln"/>
    <w:pPr>
      <w:ind w:left="720"/>
    </w:pPr>
  </w:style>
  <w:style w:type="paragraph" w:styleId="Textpoznpodarou">
    <w:name w:val="footnote text"/>
    <w:basedOn w:val="Normln"/>
    <w:pPr>
      <w:widowControl w:val="0"/>
      <w:spacing w:before="120"/>
    </w:pPr>
    <w:rPr>
      <w:rFonts w:ascii="Garamond" w:hAnsi="Garamond"/>
      <w:lang w:val="en-GB"/>
    </w:rPr>
  </w:style>
  <w:style w:type="paragraph" w:customStyle="1" w:styleId="Table">
    <w:name w:val="Table"/>
    <w:basedOn w:val="Normln"/>
    <w:pPr>
      <w:spacing w:before="120" w:after="120"/>
      <w:jc w:val="left"/>
    </w:pPr>
  </w:style>
  <w:style w:type="paragraph" w:styleId="Obsah1">
    <w:name w:val="toc 1"/>
    <w:basedOn w:val="Normln"/>
    <w:next w:val="Normln"/>
    <w:pPr>
      <w:tabs>
        <w:tab w:val="right" w:leader="dot" w:pos="8505"/>
      </w:tabs>
      <w:spacing w:before="120" w:after="120"/>
      <w:jc w:val="left"/>
    </w:pPr>
    <w:rPr>
      <w:b/>
      <w:caps/>
      <w:sz w:val="20"/>
    </w:rPr>
  </w:style>
  <w:style w:type="paragraph" w:styleId="Obsah2">
    <w:name w:val="toc 2"/>
    <w:basedOn w:val="Normln"/>
    <w:next w:val="Normln"/>
    <w:pPr>
      <w:tabs>
        <w:tab w:val="right" w:leader="dot" w:pos="8505"/>
      </w:tabs>
      <w:spacing w:after="0"/>
      <w:ind w:left="240"/>
      <w:jc w:val="left"/>
    </w:pPr>
    <w:rPr>
      <w:smallCaps/>
      <w:sz w:val="20"/>
    </w:rPr>
  </w:style>
  <w:style w:type="paragraph" w:styleId="Obsah3">
    <w:name w:val="toc 3"/>
    <w:basedOn w:val="Normln"/>
    <w:next w:val="Normln"/>
    <w:pPr>
      <w:tabs>
        <w:tab w:val="right" w:leader="dot" w:pos="8505"/>
      </w:tabs>
      <w:spacing w:after="0"/>
      <w:ind w:left="480"/>
      <w:jc w:val="left"/>
    </w:pPr>
    <w:rPr>
      <w:i/>
      <w:sz w:val="20"/>
    </w:rPr>
  </w:style>
  <w:style w:type="paragraph" w:styleId="Obsah4">
    <w:name w:val="toc 4"/>
    <w:basedOn w:val="Normln"/>
    <w:next w:val="Normln"/>
    <w:pPr>
      <w:tabs>
        <w:tab w:val="right" w:leader="dot" w:pos="8505"/>
      </w:tabs>
      <w:spacing w:after="0"/>
      <w:ind w:left="720"/>
      <w:jc w:val="left"/>
    </w:pPr>
    <w:rPr>
      <w:sz w:val="18"/>
    </w:rPr>
  </w:style>
  <w:style w:type="paragraph" w:styleId="Obsah5">
    <w:name w:val="toc 5"/>
    <w:basedOn w:val="Normln"/>
    <w:next w:val="Normln"/>
    <w:pPr>
      <w:tabs>
        <w:tab w:val="right" w:leader="dot" w:pos="8505"/>
      </w:tabs>
      <w:spacing w:after="0"/>
      <w:ind w:left="960"/>
      <w:jc w:val="left"/>
    </w:pPr>
    <w:rPr>
      <w:sz w:val="18"/>
    </w:rPr>
  </w:style>
  <w:style w:type="paragraph" w:styleId="Obsah6">
    <w:name w:val="toc 6"/>
    <w:basedOn w:val="Normln"/>
    <w:next w:val="Normln"/>
    <w:pPr>
      <w:tabs>
        <w:tab w:val="right" w:leader="dot" w:pos="8505"/>
      </w:tabs>
      <w:spacing w:after="0"/>
      <w:ind w:left="1200"/>
      <w:jc w:val="left"/>
    </w:pPr>
    <w:rPr>
      <w:sz w:val="18"/>
    </w:rPr>
  </w:style>
  <w:style w:type="paragraph" w:styleId="Obsah7">
    <w:name w:val="toc 7"/>
    <w:basedOn w:val="Normln"/>
    <w:next w:val="Normln"/>
    <w:pPr>
      <w:tabs>
        <w:tab w:val="right" w:leader="dot" w:pos="8505"/>
      </w:tabs>
      <w:spacing w:after="0"/>
      <w:ind w:left="1440"/>
      <w:jc w:val="left"/>
    </w:pPr>
    <w:rPr>
      <w:sz w:val="18"/>
    </w:rPr>
  </w:style>
  <w:style w:type="paragraph" w:styleId="Obsah8">
    <w:name w:val="toc 8"/>
    <w:basedOn w:val="Normln"/>
    <w:next w:val="Normln"/>
    <w:pPr>
      <w:tabs>
        <w:tab w:val="right" w:leader="dot" w:pos="8505"/>
      </w:tabs>
      <w:spacing w:after="0"/>
      <w:ind w:left="1680"/>
      <w:jc w:val="left"/>
    </w:pPr>
    <w:rPr>
      <w:sz w:val="18"/>
    </w:rPr>
  </w:style>
  <w:style w:type="paragraph" w:styleId="Obsah9">
    <w:name w:val="toc 9"/>
    <w:basedOn w:val="Normln"/>
    <w:next w:val="Normln"/>
    <w:pPr>
      <w:tabs>
        <w:tab w:val="right" w:leader="dot" w:pos="8505"/>
      </w:tabs>
      <w:spacing w:after="0"/>
      <w:ind w:left="1920"/>
      <w:jc w:val="left"/>
    </w:pPr>
    <w:rPr>
      <w:sz w:val="18"/>
    </w:rPr>
  </w:style>
  <w:style w:type="paragraph" w:customStyle="1" w:styleId="Schedule">
    <w:name w:val="Schedule"/>
    <w:basedOn w:val="Normln"/>
    <w:next w:val="Normln"/>
    <w:pPr>
      <w:keepNext/>
      <w:tabs>
        <w:tab w:val="center" w:pos="4692"/>
      </w:tabs>
      <w:jc w:val="center"/>
    </w:pPr>
    <w:rPr>
      <w:b/>
      <w:caps/>
      <w:spacing w:val="-2"/>
      <w:u w:val="single"/>
    </w:rPr>
  </w:style>
  <w:style w:type="paragraph" w:customStyle="1" w:styleId="Subschedule">
    <w:name w:val="Subschedule"/>
    <w:basedOn w:val="Normln"/>
    <w:next w:val="Normln"/>
    <w:pPr>
      <w:keepNext/>
      <w:tabs>
        <w:tab w:val="center" w:pos="4692"/>
      </w:tabs>
      <w:jc w:val="center"/>
    </w:pPr>
    <w:rPr>
      <w:b/>
      <w:spacing w:val="-2"/>
      <w:u w:val="single"/>
    </w:rPr>
  </w:style>
  <w:style w:type="character" w:styleId="Znakapoznpodarou">
    <w:name w:val="footnote reference"/>
    <w:rPr>
      <w:rFonts w:cs="Times New Roman"/>
      <w:position w:val="0"/>
      <w:vertAlign w:val="superscript"/>
    </w:rPr>
  </w:style>
  <w:style w:type="character" w:customStyle="1" w:styleId="tw4winMark">
    <w:name w:val="tw4winMark"/>
    <w:rPr>
      <w:rFonts w:ascii="Courier New" w:hAnsi="Courier New"/>
      <w:vanish/>
      <w:color w:val="800080"/>
      <w:position w:val="0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color w:val="008000"/>
    </w:rPr>
  </w:style>
  <w:style w:type="character" w:customStyle="1" w:styleId="tw4winJump">
    <w:name w:val="tw4winJump"/>
    <w:rPr>
      <w:rFonts w:ascii="Courier New" w:hAnsi="Courier New"/>
      <w:color w:val="008080"/>
    </w:rPr>
  </w:style>
  <w:style w:type="character" w:customStyle="1" w:styleId="tw4winExternal">
    <w:name w:val="tw4winExternal"/>
    <w:rPr>
      <w:rFonts w:ascii="Courier New" w:hAnsi="Courier New"/>
      <w:color w:val="808080"/>
    </w:rPr>
  </w:style>
  <w:style w:type="character" w:customStyle="1" w:styleId="tw4winInternal">
    <w:name w:val="tw4winInternal"/>
    <w:rPr>
      <w:rFonts w:ascii="Courier New" w:hAnsi="Courier New"/>
      <w:color w:val="FF0000"/>
    </w:rPr>
  </w:style>
  <w:style w:type="paragraph" w:styleId="Textvbloku">
    <w:name w:val="Block Text"/>
    <w:basedOn w:val="Normln"/>
    <w:pPr>
      <w:pBdr>
        <w:top w:val="single" w:sz="12" w:space="12" w:color="000000"/>
        <w:bottom w:val="single" w:sz="12" w:space="12" w:color="000000"/>
      </w:pBdr>
      <w:ind w:left="851" w:right="850"/>
      <w:jc w:val="center"/>
    </w:pPr>
    <w:rPr>
      <w:b/>
      <w:sz w:val="32"/>
    </w:r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ln"/>
    <w:pPr>
      <w:widowControl w:val="0"/>
      <w:overflowPunct/>
      <w:autoSpaceDE/>
      <w:spacing w:after="0"/>
      <w:textAlignment w:val="auto"/>
    </w:pPr>
    <w:rPr>
      <w:szCs w:val="22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rPr>
      <w:sz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character" w:customStyle="1" w:styleId="platne1">
    <w:name w:val="platne1"/>
    <w:basedOn w:val="Standardnpsmoodstavce"/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  <w:sz w:val="20"/>
    </w:rPr>
  </w:style>
  <w:style w:type="paragraph" w:styleId="Zkladntext2">
    <w:name w:val="Body Text 2"/>
    <w:basedOn w:val="Normln"/>
    <w:pPr>
      <w:overflowPunct/>
      <w:autoSpaceDE/>
      <w:spacing w:after="0"/>
      <w:textAlignment w:val="auto"/>
    </w:pPr>
    <w:rPr>
      <w:rFonts w:cs="Times New Roman"/>
      <w:sz w:val="24"/>
      <w:lang w:val="en-US"/>
    </w:rPr>
  </w:style>
  <w:style w:type="character" w:customStyle="1" w:styleId="preformatted">
    <w:name w:val="preformatted"/>
    <w:basedOn w:val="Standardnpsmoodstavce"/>
  </w:style>
  <w:style w:type="character" w:customStyle="1" w:styleId="ZpatChar">
    <w:name w:val="Zápatí Char"/>
    <w:rPr>
      <w:rFonts w:ascii="Arial" w:hAnsi="Arial" w:cs="Arial"/>
      <w:sz w:val="22"/>
      <w:lang w:eastAsia="en-US"/>
    </w:rPr>
  </w:style>
  <w:style w:type="paragraph" w:customStyle="1" w:styleId="Tmavseznamzvraznn31">
    <w:name w:val="Tmavý seznam – zvýraznění 31"/>
    <w:pPr>
      <w:suppressAutoHyphens/>
    </w:pPr>
    <w:rPr>
      <w:rFonts w:ascii="Arial" w:hAnsi="Arial" w:cs="Arial"/>
      <w:sz w:val="22"/>
      <w:lang w:eastAsia="en-US"/>
    </w:rPr>
  </w:style>
  <w:style w:type="paragraph" w:customStyle="1" w:styleId="Svtlseznamzvraznn31">
    <w:name w:val="Světlý seznam – zvýraznění 31"/>
    <w:pPr>
      <w:suppressAutoHyphens/>
    </w:pPr>
    <w:rPr>
      <w:rFonts w:ascii="Arial" w:hAnsi="Arial" w:cs="Arial"/>
      <w:sz w:val="22"/>
      <w:lang w:eastAsia="en-US"/>
    </w:rPr>
  </w:style>
  <w:style w:type="paragraph" w:customStyle="1" w:styleId="Stednseznam2zvraznn21">
    <w:name w:val="Střední seznam 2 – zvýraznění 21"/>
    <w:pPr>
      <w:suppressAutoHyphens/>
    </w:pPr>
    <w:rPr>
      <w:rFonts w:ascii="Arial" w:hAnsi="Arial" w:cs="Arial"/>
      <w:sz w:val="22"/>
      <w:lang w:eastAsia="en-US"/>
    </w:rPr>
  </w:style>
  <w:style w:type="paragraph" w:customStyle="1" w:styleId="Barevnstnovnzvraznn11">
    <w:name w:val="Barevné stínování – zvýraznění 11"/>
    <w:pPr>
      <w:suppressAutoHyphens/>
    </w:pPr>
    <w:rPr>
      <w:rFonts w:ascii="Arial" w:hAnsi="Arial" w:cs="Arial"/>
      <w:sz w:val="22"/>
      <w:lang w:eastAsia="en-US"/>
    </w:rPr>
  </w:style>
  <w:style w:type="paragraph" w:styleId="Odstavecseseznamem">
    <w:name w:val="List Paragraph"/>
    <w:basedOn w:val="Normln"/>
    <w:pPr>
      <w:ind w:left="720"/>
      <w:contextualSpacing/>
    </w:pPr>
  </w:style>
  <w:style w:type="paragraph" w:styleId="Revize">
    <w:name w:val="Revision"/>
    <w:pPr>
      <w:suppressAutoHyphens/>
    </w:pPr>
    <w:rPr>
      <w:rFonts w:ascii="Arial" w:hAnsi="Arial" w:cs="Arial"/>
      <w:sz w:val="22"/>
      <w:lang w:eastAsia="en-US"/>
    </w:rPr>
  </w:style>
  <w:style w:type="character" w:customStyle="1" w:styleId="TextkomenteChar">
    <w:name w:val="Text komentáře Char"/>
    <w:basedOn w:val="Standardnpsmoodstavce"/>
    <w:rPr>
      <w:rFonts w:ascii="Arial" w:hAnsi="Arial" w:cs="Arial"/>
      <w:lang w:eastAsia="en-US"/>
    </w:rPr>
  </w:style>
  <w:style w:type="numbering" w:customStyle="1" w:styleId="WWOutlineListStyle">
    <w:name w:val="WW_OutlineListStyle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1074</Words>
  <Characters>6338</Characters>
  <Application>Microsoft Office Word</Application>
  <DocSecurity>0</DocSecurity>
  <Lines>52</Lines>
  <Paragraphs>14</Paragraphs>
  <ScaleCrop>false</ScaleCrop>
  <Company>SFZP CR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Dittmannová Jaromíra</dc:creator>
  <cp:lastModifiedBy>Dittmannová Jaromíra</cp:lastModifiedBy>
  <cp:revision>2</cp:revision>
  <cp:lastPrinted>2009-03-18T11:08:00Z</cp:lastPrinted>
  <dcterms:created xsi:type="dcterms:W3CDTF">2025-05-28T13:18:00Z</dcterms:created>
  <dcterms:modified xsi:type="dcterms:W3CDTF">2025-05-28T13:18:00Z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gFAACRwgU2+mnxkeRLt0tGZduMa3wck7TiG4V06wj6l5RN5z7FxBbZAJOiu5reXdNuHsANQxIA7cp8BO_x000d_
laQlWCklD2K8FG2GpdddWCAHhDSCpIYb1YRI53dHQTl+OxMB652RmPMhyZpQcC1GMhgwo3n43EHN_x000d_
qoDKlBVsiFah5pmdL6TjdTDpuI2+now/7OXcdh79QKle1UPBC5pul6iHmFeq/T9S7rk4bxJhM96w_x000d_
kKmRY7jllI/qIxMq1</vt:lpwstr>
  </property>
  <property fmtid="{D5CDD505-2E9C-101B-9397-08002B2CF9AE}" pid="3" name="MAIL_MSG_ID2">
    <vt:lpwstr>j4c2NV8HPu7gFUsrImgrN4YsCLyH/jfS5GMv49WLBhUkFAg6Q7ysbX0Fp19_x000d_
YoMO1PQ1D80hGs6iYVOTPdwtyG4g/LKhUusDIw==</vt:lpwstr>
  </property>
  <property fmtid="{D5CDD505-2E9C-101B-9397-08002B2CF9AE}" pid="4" name="RESPONSE_SENDER_NAME">
    <vt:lpwstr>sAAAGYoQX4c3X/LwMsq4doU0GH5b8oLXOqDEA/hwnaEBx7w=</vt:lpwstr>
  </property>
  <property fmtid="{D5CDD505-2E9C-101B-9397-08002B2CF9AE}" pid="5" name="EMAIL_OWNER_ADDRESS">
    <vt:lpwstr>ABAAMV6B7YzPbaLUPUk0GQdVcjbxL+mYKTtl0gPholImlAKakdu74wy29DcTbozBaSYs</vt:lpwstr>
  </property>
</Properties>
</file>