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7365188" name="Picture">
</wp:docPr>
                  <a:graphic>
                    <a:graphicData uri="http://schemas.openxmlformats.org/drawingml/2006/picture">
                      <pic:pic>
                        <pic:nvPicPr>
                          <pic:cNvPr id="1027365188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0025010162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25010162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6657737" name="Picture">
</wp:docPr>
                  <a:graphic>
                    <a:graphicData uri="http://schemas.openxmlformats.org/drawingml/2006/picture">
                      <pic:pic>
                        <pic:nvPicPr>
                          <pic:cNvPr id="506657737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Pragolab s.r.o.</w:t>
              <w:br/>
              <w:t xml:space="preserve">Nad Krocínkou 285/55</w:t>
              <w:br/>
              <w:t xml:space="preserve">190 00 Praha 9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48029289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CZ48029289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311236951, 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18.06.2025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09.06.2025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zahrnuto v cenové nabídce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FA2242003-254630   Hypersil Chiral-ot 3UM 250x4,6 mm Column dle cenové nabídky: NAB-25-0713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69 913,80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69 913,80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69 913,80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26.05.2025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742501 \ 100 \ 200401 Škoch \ 0500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