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2"/>
        <w:keepNext w:val="0"/>
        <w:keepLines w:val="0"/>
        <w:widowControl w:val="0"/>
        <w:shd w:val="clear" w:color="auto" w:fill="auto"/>
        <w:tabs>
          <w:tab w:pos="2117" w:val="left"/>
        </w:tabs>
        <w:bidi w:val="0"/>
        <w:spacing w:before="0" w:after="0" w:line="502" w:lineRule="auto"/>
        <w:ind w:left="0" w:right="0" w:firstLine="0"/>
        <w:jc w:val="left"/>
      </w:pPr>
      <w:r>
        <w:rPr>
          <w:color w:val="000000"/>
          <w:spacing w:val="0"/>
          <w:w w:val="100"/>
          <w:position w:val="0"/>
          <w:shd w:val="clear" w:color="auto" w:fill="auto"/>
          <w:lang w:val="cs-CZ" w:eastAsia="cs-CZ" w:bidi="cs-CZ"/>
        </w:rPr>
        <w:t>Zakázka:</w:t>
        <w:tab/>
      </w:r>
      <w:r>
        <w:rPr>
          <w:b/>
          <w:bCs/>
          <w:color w:val="000000"/>
          <w:spacing w:val="0"/>
          <w:w w:val="100"/>
          <w:position w:val="0"/>
          <w:shd w:val="clear" w:color="auto" w:fill="auto"/>
          <w:lang w:val="cs-CZ" w:eastAsia="cs-CZ" w:bidi="cs-CZ"/>
        </w:rPr>
        <w:t>ČS Stranná - frekvenční měniče GF 1,2,3 - ZD</w:t>
      </w:r>
    </w:p>
    <w:p>
      <w:pPr>
        <w:pStyle w:val="Style2"/>
        <w:keepNext w:val="0"/>
        <w:keepLines w:val="0"/>
        <w:widowControl w:val="0"/>
        <w:shd w:val="clear" w:color="auto" w:fill="auto"/>
        <w:tabs>
          <w:tab w:pos="2117" w:val="left"/>
        </w:tabs>
        <w:bidi w:val="0"/>
        <w:spacing w:before="0" w:after="0" w:line="502" w:lineRule="auto"/>
        <w:ind w:left="0" w:right="0" w:firstLine="0"/>
        <w:jc w:val="left"/>
      </w:pPr>
      <w:r>
        <w:rPr>
          <w:color w:val="000000"/>
          <w:spacing w:val="0"/>
          <w:w w:val="100"/>
          <w:position w:val="0"/>
          <w:shd w:val="clear" w:color="auto" w:fill="auto"/>
          <w:lang w:val="cs-CZ" w:eastAsia="cs-CZ" w:bidi="cs-CZ"/>
        </w:rPr>
        <w:t>Zadavatel:</w:t>
        <w:tab/>
        <w:t>Povodí Ohře, státní podnik, Bezručova 4219, 430 03 Chomutov</w:t>
      </w:r>
    </w:p>
    <w:p>
      <w:pPr>
        <w:pStyle w:val="Style2"/>
        <w:keepNext w:val="0"/>
        <w:keepLines w:val="0"/>
        <w:widowControl w:val="0"/>
        <w:shd w:val="clear" w:color="auto" w:fill="auto"/>
        <w:bidi w:val="0"/>
        <w:spacing w:before="0" w:after="0" w:line="502" w:lineRule="auto"/>
        <w:ind w:left="0" w:right="0" w:firstLine="0"/>
        <w:jc w:val="left"/>
      </w:pPr>
      <w:r>
        <w:rPr>
          <w:b/>
          <w:bCs/>
          <w:color w:val="000000"/>
          <w:spacing w:val="0"/>
          <w:w w:val="100"/>
          <w:position w:val="0"/>
          <w:shd w:val="clear" w:color="auto" w:fill="auto"/>
          <w:lang w:val="cs-CZ" w:eastAsia="cs-CZ" w:bidi="cs-CZ"/>
        </w:rPr>
        <w:t>ČESTNÉ PROHLÁŠENÍ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Sweco a.s.</w:t>
      </w:r>
    </w:p>
    <w:p>
      <w:pPr>
        <w:pStyle w:val="Style2"/>
        <w:keepNext w:val="0"/>
        <w:keepLines w:val="0"/>
        <w:widowControl w:val="0"/>
        <w:shd w:val="clear" w:color="auto" w:fill="auto"/>
        <w:tabs>
          <w:tab w:leader="dot" w:pos="8122" w:val="left"/>
        </w:tabs>
        <w:bidi w:val="0"/>
        <w:spacing w:before="0" w:after="200" w:line="240" w:lineRule="auto"/>
        <w:ind w:left="0" w:right="0" w:firstLine="0"/>
        <w:jc w:val="left"/>
      </w:pPr>
      <w:r>
        <w:rPr>
          <w:color w:val="000000"/>
          <w:spacing w:val="0"/>
          <w:w w:val="100"/>
          <w:position w:val="0"/>
          <w:shd w:val="clear" w:color="auto" w:fill="auto"/>
          <w:lang w:val="cs-CZ" w:eastAsia="cs-CZ" w:bidi="cs-CZ"/>
        </w:rPr>
        <w:tab/>
        <w:t xml:space="preserve"> (název účastníka zadávacího řízení)</w:t>
      </w:r>
    </w:p>
    <w:p>
      <w:pPr>
        <w:pStyle w:val="Style2"/>
        <w:keepNext w:val="0"/>
        <w:keepLines w:val="0"/>
        <w:widowControl w:val="0"/>
        <w:shd w:val="clear" w:color="auto" w:fill="auto"/>
        <w:bidi w:val="0"/>
        <w:spacing w:before="0" w:after="0" w:line="502"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
        <w:keepNext w:val="0"/>
        <w:keepLines w:val="0"/>
        <w:widowControl w:val="0"/>
        <w:shd w:val="clear" w:color="auto" w:fill="auto"/>
        <w:bidi w:val="0"/>
        <w:spacing w:before="0" w:after="0" w:line="502" w:lineRule="auto"/>
        <w:ind w:left="0" w:right="0" w:firstLine="0"/>
        <w:jc w:val="left"/>
      </w:pPr>
      <w:r>
        <w:rPr>
          <w:b/>
          <w:bCs/>
          <w:color w:val="000000"/>
          <w:spacing w:val="0"/>
          <w:w w:val="100"/>
          <w:position w:val="0"/>
          <w:shd w:val="clear" w:color="auto" w:fill="auto"/>
          <w:lang w:val="cs-CZ" w:eastAsia="cs-CZ" w:bidi="cs-CZ"/>
        </w:rPr>
        <w:t>ČS Stranná - frekvenční měniče GF 1,2,3 - ZD</w:t>
      </w:r>
    </w:p>
    <w:p>
      <w:pPr>
        <w:pStyle w:val="Style2"/>
        <w:keepNext w:val="0"/>
        <w:keepLines w:val="0"/>
        <w:widowControl w:val="0"/>
        <w:shd w:val="clear" w:color="auto" w:fill="auto"/>
        <w:bidi w:val="0"/>
        <w:spacing w:before="0" w:after="0" w:line="502" w:lineRule="auto"/>
        <w:ind w:left="0" w:right="0" w:firstLine="0"/>
        <w:jc w:val="left"/>
      </w:pPr>
      <w:r>
        <w:rPr>
          <w:color w:val="000000"/>
          <w:spacing w:val="0"/>
          <w:w w:val="100"/>
          <w:position w:val="0"/>
          <w:shd w:val="clear" w:color="auto" w:fill="auto"/>
          <w:lang w:val="cs-CZ" w:eastAsia="cs-CZ" w:bidi="cs-CZ"/>
        </w:rPr>
        <w:t>Dodavatel – společnost</w:t>
      </w:r>
    </w:p>
    <w:p>
      <w:pPr>
        <w:pStyle w:val="Style2"/>
        <w:keepNext w:val="0"/>
        <w:keepLines w:val="0"/>
        <w:widowControl w:val="0"/>
        <w:shd w:val="clear" w:color="auto" w:fill="auto"/>
        <w:bidi w:val="0"/>
        <w:spacing w:before="0" w:after="560" w:line="502" w:lineRule="auto"/>
        <w:ind w:left="0" w:right="0" w:firstLine="0"/>
        <w:jc w:val="left"/>
      </w:pPr>
      <w:r>
        <w:rPr>
          <w:color w:val="000000"/>
          <w:spacing w:val="0"/>
          <w:w w:val="100"/>
          <w:position w:val="0"/>
          <w:shd w:val="clear" w:color="auto" w:fill="auto"/>
          <w:lang w:val="cs-CZ" w:eastAsia="cs-CZ" w:bidi="cs-CZ"/>
        </w:rPr>
        <w:t xml:space="preserve">Sweco a.s., Táborská 940/31, 140 16 Praha 4, IČO 26475081 jednající prostřednictvím: </w:t>
      </w:r>
      <w:r>
        <w:rPr>
          <w:color w:val="000000"/>
          <w:spacing w:val="0"/>
          <w:w w:val="100"/>
          <w:position w:val="0"/>
          <w:shd w:val="clear" w:color="auto" w:fill="auto"/>
          <w:lang w:val="cs-CZ" w:eastAsia="cs-CZ" w:bidi="cs-CZ"/>
        </w:rPr>
        <w:t>(dále jen „dodavatel“),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2"/>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2"/>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2"/>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2"/>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2"/>
        <w:keepNext w:val="0"/>
        <w:keepLines w:val="0"/>
        <w:widowControl w:val="0"/>
        <w:shd w:val="clear" w:color="auto" w:fill="auto"/>
        <w:bidi w:val="0"/>
        <w:spacing w:before="0" w:after="7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2"/>
        <w:keepNext w:val="0"/>
        <w:keepLines w:val="0"/>
        <w:widowControl w:val="0"/>
        <w:shd w:val="clear" w:color="auto" w:fill="auto"/>
        <w:bidi w:val="0"/>
        <w:spacing w:before="0" w:after="2280" w:line="240" w:lineRule="auto"/>
        <w:ind w:left="4400" w:right="0" w:firstLine="0"/>
        <w:jc w:val="left"/>
      </w:pPr>
      <w:r>
        <mc:AlternateContent>
          <mc:Choice Requires="wps">
            <w:drawing>
              <wp:anchor distT="0" distB="0" distL="114300" distR="114300" simplePos="0" relativeHeight="125829378" behindDoc="0" locked="0" layoutInCell="1" allowOverlap="1">
                <wp:simplePos x="0" y="0"/>
                <wp:positionH relativeFrom="page">
                  <wp:posOffset>707390</wp:posOffset>
                </wp:positionH>
                <wp:positionV relativeFrom="paragraph">
                  <wp:posOffset>12700</wp:posOffset>
                </wp:positionV>
                <wp:extent cx="494030" cy="228600"/>
                <wp:wrapSquare wrapText="bothSides"/>
                <wp:docPr id="1" name="Shape 1"/>
                <a:graphic xmlns:a="http://schemas.openxmlformats.org/drawingml/2006/main">
                  <a:graphicData uri="http://schemas.microsoft.com/office/word/2010/wordprocessingShape">
                    <wps:wsp>
                      <wps:cNvSpPr txBox="1"/>
                      <wps:spPr>
                        <a:xfrm>
                          <a:ext cx="49403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700000000000003pt;margin-top:1.pt;width:38.899999999999999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xbxContent>
                </v:textbox>
                <w10:wrap type="square" anchorx="page"/>
              </v:shape>
            </w:pict>
          </mc:Fallback>
        </mc:AlternateContent>
      </w:r>
      <w:r>
        <w:rPr>
          <w:color w:val="000000"/>
          <w:spacing w:val="0"/>
          <w:w w:val="100"/>
          <w:position w:val="0"/>
          <w:shd w:val="clear" w:color="auto" w:fill="auto"/>
          <w:lang w:val="cs-CZ" w:eastAsia="cs-CZ" w:bidi="cs-CZ"/>
        </w:rPr>
        <w:t>Podpis:</w:t>
      </w:r>
    </w:p>
    <w:p>
      <w:pPr>
        <w:pStyle w:val="Style2"/>
        <w:keepNext w:val="0"/>
        <w:keepLines w:val="0"/>
        <w:widowControl w:val="0"/>
        <w:shd w:val="clear" w:color="auto" w:fill="auto"/>
        <w:bidi w:val="0"/>
        <w:spacing w:before="0" w:after="14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2"/>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footerReference w:type="default" r:id="rId5"/>
      <w:footnotePr>
        <w:pos w:val="pageBottom"/>
        <w:numFmt w:val="decimal"/>
        <w:numRestart w:val="continuous"/>
      </w:footnotePr>
      <w:pgSz w:w="11909" w:h="16838"/>
      <w:pgMar w:top="1104" w:left="1107" w:right="1105" w:bottom="1878" w:header="6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480"/>
      <w:jc w:val="center"/>
      <w:outlineLvl w:val="0"/>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