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9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1210700053</w:t>
      </w:r>
    </w:p>
    <w:p>
      <w:pPr>
        <w:spacing w:line="425" w:lineRule="exact" w:before="2"/>
        <w:ind w:left="1325" w:right="109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10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4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Kohoutov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550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Kohoutov,</w:t>
      </w:r>
      <w:r>
        <w:rPr>
          <w:spacing w:val="-5"/>
        </w:rPr>
        <w:t> </w:t>
      </w:r>
      <w:r>
        <w:rPr/>
        <w:t>Kohoutov</w:t>
      </w:r>
      <w:r>
        <w:rPr>
          <w:spacing w:val="-2"/>
        </w:rPr>
        <w:t> </w:t>
      </w:r>
      <w:r>
        <w:rPr/>
        <w:t>65,</w:t>
      </w:r>
      <w:r>
        <w:rPr>
          <w:spacing w:val="-5"/>
        </w:rPr>
        <w:t> </w:t>
      </w:r>
      <w:r>
        <w:rPr/>
        <w:t>544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Dvůr</w:t>
      </w:r>
      <w:r>
        <w:rPr>
          <w:spacing w:val="-4"/>
        </w:rPr>
        <w:t> </w:t>
      </w:r>
      <w:r>
        <w:rPr/>
        <w:t>Králové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/>
        <w:t>Labem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00278017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Pavlem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2111601/0710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10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51"/>
      </w:pPr>
      <w:r>
        <w:rPr/>
        <w:t>„Smlouva“) se uzavírá na základě Rozhodnutí ministra životního prostředí č. 1210700053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9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</w:pPr>
      <w:r>
        <w:rPr/>
        <w:t>„DOMOVNÍ</w:t>
      </w:r>
      <w:r>
        <w:rPr>
          <w:spacing w:val="-10"/>
        </w:rPr>
        <w:t> </w:t>
      </w:r>
      <w:r>
        <w:rPr/>
        <w:t>ČOV</w:t>
      </w:r>
      <w:r>
        <w:rPr>
          <w:spacing w:val="-9"/>
        </w:rPr>
        <w:t> </w:t>
      </w:r>
      <w:r>
        <w:rPr>
          <w:spacing w:val="-2"/>
        </w:rPr>
        <w:t>KOHOUTOV“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10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4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8 700 000,00 Kč </w:t>
      </w:r>
      <w:r>
        <w:rPr>
          <w:sz w:val="20"/>
        </w:rPr>
        <w:t>(slovy: osm milionů sedm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13 282 266,00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65,50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101"/>
      </w:pPr>
      <w:r>
        <w:rPr>
          <w:spacing w:val="-4"/>
        </w:rPr>
        <w:t>III.</w:t>
      </w:r>
    </w:p>
    <w:p>
      <w:pPr>
        <w:pStyle w:val="Heading2"/>
        <w:ind w:right="110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5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4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98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5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5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5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6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5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6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5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  <w:ind w:right="1099"/>
      </w:pPr>
      <w:r>
        <w:rPr>
          <w:spacing w:val="-5"/>
        </w:rPr>
        <w:t>IV.</w:t>
      </w:r>
    </w:p>
    <w:p>
      <w:pPr>
        <w:pStyle w:val="Heading2"/>
        <w:ind w:right="110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7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Janem Beranem (1/2023), podle dokumentace žádosti ze dne 21. 8. 2023, podle dokumentace výběrového řízení včetně smlouvy o dílo se společností BAK stavební společnost, a.s., IČO: 28402758 ze dne 5. 12. 2024, včetně případných změn a doplňků těchto dokumentů odsouhlasených Fondem,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98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55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předpokládaném</w:t>
      </w:r>
      <w:r>
        <w:rPr>
          <w:spacing w:val="-14"/>
          <w:sz w:val="20"/>
        </w:rPr>
        <w:t> </w:t>
      </w:r>
      <w:r>
        <w:rPr>
          <w:sz w:val="20"/>
        </w:rPr>
        <w:t>rozsahu,</w:t>
      </w:r>
      <w:r>
        <w:rPr>
          <w:spacing w:val="-14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prevenci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omezení</w:t>
      </w:r>
      <w:r>
        <w:rPr>
          <w:spacing w:val="-14"/>
          <w:sz w:val="20"/>
        </w:rPr>
        <w:t> </w:t>
      </w:r>
      <w:r>
        <w:rPr>
          <w:sz w:val="20"/>
        </w:rPr>
        <w:t>znečištění</w:t>
      </w:r>
      <w:r>
        <w:rPr>
          <w:spacing w:val="-14"/>
          <w:sz w:val="20"/>
        </w:rPr>
        <w:t> </w:t>
      </w:r>
      <w:r>
        <w:rPr>
          <w:sz w:val="20"/>
        </w:rPr>
        <w:t>povrchových a podzemních vod z komunálních zdrojů prostřednictvím realizace 57 ks domovní ČOV do kapacity 50 EO v obci Kohoutov, a to takto:</w:t>
      </w:r>
    </w:p>
    <w:p>
      <w:pPr>
        <w:pStyle w:val="BodyText"/>
        <w:spacing w:before="2"/>
        <w:ind w:left="0"/>
        <w:jc w:val="left"/>
        <w:rPr>
          <w:sz w:val="9"/>
        </w:r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7"/>
        <w:gridCol w:w="1540"/>
      </w:tblGrid>
      <w:tr>
        <w:trPr>
          <w:trHeight w:val="265" w:hRule="atLeast"/>
        </w:trPr>
        <w:tc>
          <w:tcPr>
            <w:tcW w:w="7607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Celková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40" w:type="dxa"/>
          </w:tcPr>
          <w:p>
            <w:pPr>
              <w:pStyle w:val="TableParagraph"/>
              <w:spacing w:line="246" w:lineRule="exact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5"/>
                <w:sz w:val="20"/>
              </w:rPr>
              <w:t>EO</w:t>
            </w:r>
          </w:p>
        </w:tc>
      </w:tr>
      <w:tr>
        <w:trPr>
          <w:trHeight w:val="266" w:hRule="atLeast"/>
        </w:trPr>
        <w:tc>
          <w:tcPr>
            <w:tcW w:w="7607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vlastnictví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34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40" w:type="dxa"/>
          </w:tcPr>
          <w:p>
            <w:pPr>
              <w:pStyle w:val="TableParagraph"/>
              <w:spacing w:line="246" w:lineRule="exact"/>
              <w:ind w:left="0" w:right="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607" w:type="dxa"/>
          </w:tcPr>
          <w:p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bytových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40" w:type="dxa"/>
          </w:tcPr>
          <w:p>
            <w:pPr>
              <w:pStyle w:val="TableParagraph"/>
              <w:spacing w:line="245" w:lineRule="exact"/>
              <w:ind w:left="0"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7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607" w:type="dxa"/>
          </w:tcPr>
          <w:p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obyvatel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40" w:type="dxa"/>
          </w:tcPr>
          <w:p>
            <w:pPr>
              <w:pStyle w:val="TableParagraph"/>
              <w:spacing w:line="245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607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realizovaných DČOV o kapacitě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540" w:type="dxa"/>
          </w:tcPr>
          <w:p>
            <w:pPr>
              <w:pStyle w:val="TableParagraph"/>
              <w:spacing w:line="246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607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realizovaných DČOV o kapacitě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540" w:type="dxa"/>
          </w:tcPr>
          <w:p>
            <w:pPr>
              <w:pStyle w:val="TableParagraph"/>
              <w:spacing w:line="246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607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rodinných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40" w:type="dxa"/>
          </w:tcPr>
          <w:p>
            <w:pPr>
              <w:pStyle w:val="TableParagraph"/>
              <w:spacing w:line="246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3" w:after="0"/>
        <w:ind w:left="741" w:right="15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7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 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5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6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5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p)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veškeré 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v účetnictví (zákon</w:t>
      </w:r>
      <w:r>
        <w:rPr>
          <w:spacing w:val="2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563/1991 Sb.,</w:t>
      </w:r>
      <w:r>
        <w:rPr>
          <w:spacing w:val="1"/>
          <w:sz w:val="20"/>
        </w:rPr>
        <w:t> </w:t>
      </w:r>
      <w:r>
        <w:rPr>
          <w:sz w:val="20"/>
        </w:rPr>
        <w:t>o účetnictví, v</w:t>
      </w:r>
      <w:r>
        <w:rPr>
          <w:spacing w:val="1"/>
          <w:sz w:val="20"/>
        </w:rPr>
        <w:t> </w:t>
      </w:r>
      <w:r>
        <w:rPr>
          <w:sz w:val="20"/>
        </w:rPr>
        <w:t>platném znění) </w:t>
      </w:r>
      <w:r>
        <w:rPr>
          <w:spacing w:val="-2"/>
          <w:sz w:val="20"/>
        </w:rPr>
        <w:t>podle</w:t>
      </w:r>
    </w:p>
    <w:p>
      <w:pPr>
        <w:pStyle w:val="BodyText"/>
        <w:spacing w:before="1"/>
        <w:ind w:left="741"/>
      </w:pPr>
      <w:r>
        <w:rPr/>
        <w:t>pokynů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čl.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t)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8" w:hanging="360"/>
        <w:jc w:val="both"/>
        <w:rPr>
          <w:sz w:val="20"/>
        </w:rPr>
      </w:pPr>
      <w:r>
        <w:rPr>
          <w:sz w:val="20"/>
        </w:rPr>
        <w:t>termín dokončení akce do konce 06/2025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01/2025,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12/2025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5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1"/>
        <w:ind w:left="809" w:right="14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33"/>
        </w:rPr>
        <w:t> </w:t>
      </w:r>
      <w:r>
        <w:rPr/>
        <w:t>plněním</w:t>
      </w:r>
      <w:r>
        <w:rPr>
          <w:spacing w:val="36"/>
        </w:rPr>
        <w:t> </w:t>
      </w:r>
      <w:r>
        <w:rPr/>
        <w:t>finančních</w:t>
      </w:r>
      <w:r>
        <w:rPr>
          <w:spacing w:val="35"/>
        </w:rPr>
        <w:t> </w:t>
      </w:r>
      <w:r>
        <w:rPr/>
        <w:t>závazků</w:t>
      </w:r>
      <w:r>
        <w:rPr>
          <w:spacing w:val="34"/>
        </w:rPr>
        <w:t> </w:t>
      </w:r>
      <w:r>
        <w:rPr/>
        <w:t>vůči</w:t>
      </w:r>
      <w:r>
        <w:rPr>
          <w:spacing w:val="34"/>
        </w:rPr>
        <w:t> </w:t>
      </w:r>
      <w:r>
        <w:rPr/>
        <w:t>Fondu.</w:t>
      </w:r>
      <w:r>
        <w:rPr>
          <w:spacing w:val="35"/>
        </w:rPr>
        <w:t> </w:t>
      </w:r>
      <w:r>
        <w:rPr/>
        <w:t>Protokol</w:t>
      </w:r>
      <w:r>
        <w:rPr>
          <w:spacing w:val="37"/>
        </w:rPr>
        <w:t> </w:t>
      </w:r>
      <w:r>
        <w:rPr/>
        <w:t>o</w:t>
      </w:r>
      <w:r>
        <w:rPr>
          <w:spacing w:val="34"/>
        </w:rPr>
        <w:t> </w:t>
      </w:r>
      <w:r>
        <w:rPr/>
        <w:t>ZVA</w:t>
      </w:r>
      <w:r>
        <w:rPr>
          <w:spacing w:val="36"/>
        </w:rPr>
        <w:t> </w:t>
      </w:r>
      <w:r>
        <w:rPr/>
        <w:t>bude</w:t>
      </w:r>
      <w:r>
        <w:rPr>
          <w:spacing w:val="34"/>
        </w:rPr>
        <w:t> </w:t>
      </w:r>
      <w:r>
        <w:rPr/>
        <w:t>obsahovat</w:t>
      </w:r>
      <w:r>
        <w:rPr>
          <w:spacing w:val="33"/>
        </w:rPr>
        <w:t> </w:t>
      </w:r>
      <w:r>
        <w:rPr/>
        <w:t>vypořádání</w:t>
      </w:r>
      <w:r>
        <w:rPr>
          <w:spacing w:val="35"/>
        </w:rPr>
        <w:t> </w:t>
      </w:r>
      <w:r>
        <w:rPr>
          <w:spacing w:val="-2"/>
        </w:rPr>
        <w:t>čerpaných</w:t>
      </w:r>
    </w:p>
    <w:p>
      <w:pPr>
        <w:spacing w:after="0"/>
        <w:sectPr>
          <w:pgSz w:w="12240" w:h="15840"/>
          <w:pgMar w:header="0" w:footer="1460" w:top="1060" w:bottom="1660" w:left="1320" w:right="980"/>
        </w:sectPr>
      </w:pPr>
    </w:p>
    <w:p>
      <w:pPr>
        <w:pStyle w:val="BodyText"/>
        <w:spacing w:before="73"/>
        <w:ind w:left="809"/>
      </w:pPr>
      <w:r>
        <w:rPr/>
        <w:t>prostředků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vyhodnocení</w:t>
      </w:r>
      <w:r>
        <w:rPr>
          <w:spacing w:val="-6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smluvních</w:t>
      </w:r>
      <w:r>
        <w:rPr>
          <w:spacing w:val="-8"/>
        </w:rPr>
        <w:t> </w:t>
      </w:r>
      <w:r>
        <w:rPr>
          <w:spacing w:val="-2"/>
        </w:rPr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5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5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5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99"/>
      </w:pPr>
      <w:r>
        <w:rPr>
          <w:spacing w:val="-5"/>
        </w:rPr>
        <w:t>V.</w:t>
      </w:r>
    </w:p>
    <w:p>
      <w:pPr>
        <w:pStyle w:val="Heading2"/>
        <w:spacing w:before="1"/>
        <w:ind w:right="110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5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5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98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4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5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99"/>
      </w:pPr>
      <w:r>
        <w:rPr>
          <w:spacing w:val="-5"/>
        </w:rPr>
        <w:t>VI.</w:t>
      </w:r>
    </w:p>
    <w:p>
      <w:pPr>
        <w:pStyle w:val="Heading2"/>
        <w:ind w:right="109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5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6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5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4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5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98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5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98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5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5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60" w:top="1060" w:bottom="1660" w:left="1320" w:right="98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57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2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76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4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8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3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3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8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0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3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9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2025-05-26T10:52:03Z</dcterms:created>
  <dcterms:modified xsi:type="dcterms:W3CDTF">2025-05-26T10:52:03Z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2025-05-26T00:00:00Z</vt:filetime>
  </property>
</Properties>
</file>