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F279" w14:textId="4D173968" w:rsidR="008B64DA" w:rsidRDefault="008B64DA">
      <w:pPr>
        <w:jc w:val="center"/>
        <w:outlineLvl w:val="0"/>
        <w:rPr>
          <w:b/>
          <w:sz w:val="22"/>
          <w:szCs w:val="22"/>
        </w:rPr>
      </w:pPr>
      <w:r>
        <w:rPr>
          <w:b/>
          <w:sz w:val="22"/>
          <w:szCs w:val="22"/>
        </w:rPr>
        <w:t>SMLOUVA O SPOLUPRÁCI</w:t>
      </w:r>
      <w:r w:rsidR="00D226BE">
        <w:rPr>
          <w:b/>
          <w:sz w:val="22"/>
          <w:szCs w:val="22"/>
        </w:rPr>
        <w:t xml:space="preserve"> č. 25SM08</w:t>
      </w:r>
    </w:p>
    <w:p w14:paraId="63C9F022" w14:textId="77777777" w:rsidR="008B64DA" w:rsidRDefault="008B64DA">
      <w:pPr>
        <w:jc w:val="both"/>
        <w:rPr>
          <w:b/>
          <w:sz w:val="22"/>
          <w:szCs w:val="22"/>
        </w:rPr>
      </w:pPr>
    </w:p>
    <w:p w14:paraId="550E42EF" w14:textId="77777777" w:rsidR="008B64DA" w:rsidRDefault="008B64DA">
      <w:pPr>
        <w:jc w:val="both"/>
        <w:outlineLvl w:val="0"/>
        <w:rPr>
          <w:b/>
          <w:sz w:val="22"/>
          <w:szCs w:val="22"/>
        </w:rPr>
      </w:pPr>
      <w:r>
        <w:rPr>
          <w:sz w:val="22"/>
          <w:szCs w:val="22"/>
        </w:rPr>
        <w:t>Níže uvedeného dne, měsíce a roku uzavřely spolu smluvní strany</w:t>
      </w:r>
    </w:p>
    <w:p w14:paraId="1F2AAAF6" w14:textId="77777777" w:rsidR="008B64DA" w:rsidRDefault="008B64DA">
      <w:pPr>
        <w:jc w:val="both"/>
        <w:rPr>
          <w:b/>
          <w:sz w:val="22"/>
          <w:szCs w:val="22"/>
        </w:rPr>
      </w:pPr>
    </w:p>
    <w:p w14:paraId="42ED5491" w14:textId="77777777" w:rsidR="008B64DA" w:rsidRDefault="008B64DA">
      <w:pPr>
        <w:jc w:val="both"/>
        <w:rPr>
          <w:sz w:val="22"/>
          <w:szCs w:val="22"/>
        </w:rPr>
      </w:pPr>
      <w:r>
        <w:rPr>
          <w:b/>
          <w:sz w:val="22"/>
          <w:szCs w:val="22"/>
        </w:rPr>
        <w:t>Mgr. Ing. Ondřej Rea</w:t>
      </w:r>
    </w:p>
    <w:p w14:paraId="25D2172B" w14:textId="77777777" w:rsidR="008B64DA" w:rsidRDefault="008B64DA">
      <w:pPr>
        <w:jc w:val="both"/>
        <w:outlineLvl w:val="0"/>
        <w:rPr>
          <w:sz w:val="22"/>
          <w:szCs w:val="22"/>
        </w:rPr>
      </w:pPr>
      <w:r>
        <w:rPr>
          <w:sz w:val="22"/>
          <w:szCs w:val="22"/>
        </w:rPr>
        <w:t>Autor výstavy Největší záhady a tajemství světa</w:t>
      </w:r>
    </w:p>
    <w:p w14:paraId="07CF93F5" w14:textId="77777777" w:rsidR="008B64DA" w:rsidRDefault="008B64DA">
      <w:pPr>
        <w:jc w:val="both"/>
        <w:rPr>
          <w:sz w:val="22"/>
          <w:szCs w:val="22"/>
        </w:rPr>
      </w:pPr>
      <w:r>
        <w:rPr>
          <w:sz w:val="22"/>
          <w:szCs w:val="22"/>
        </w:rPr>
        <w:t>Sídlem: Hřibová 501, Liberec XIX, 46008</w:t>
      </w:r>
    </w:p>
    <w:p w14:paraId="416BCE7C" w14:textId="77777777" w:rsidR="008B64DA" w:rsidRDefault="008B64DA">
      <w:pPr>
        <w:jc w:val="both"/>
        <w:rPr>
          <w:sz w:val="22"/>
          <w:szCs w:val="22"/>
        </w:rPr>
      </w:pPr>
      <w:r>
        <w:rPr>
          <w:sz w:val="22"/>
          <w:szCs w:val="22"/>
        </w:rPr>
        <w:t>IČ: 86756443</w:t>
      </w:r>
    </w:p>
    <w:p w14:paraId="5FDD3287" w14:textId="480D507D" w:rsidR="008B64DA" w:rsidRDefault="008B64DA">
      <w:pPr>
        <w:jc w:val="both"/>
        <w:rPr>
          <w:sz w:val="22"/>
          <w:szCs w:val="22"/>
        </w:rPr>
      </w:pPr>
      <w:r>
        <w:rPr>
          <w:sz w:val="22"/>
          <w:szCs w:val="22"/>
        </w:rPr>
        <w:t xml:space="preserve">č. </w:t>
      </w:r>
      <w:proofErr w:type="spellStart"/>
      <w:r>
        <w:rPr>
          <w:sz w:val="22"/>
          <w:szCs w:val="22"/>
        </w:rPr>
        <w:t>ú.</w:t>
      </w:r>
      <w:proofErr w:type="spellEnd"/>
      <w:r>
        <w:rPr>
          <w:sz w:val="22"/>
          <w:szCs w:val="22"/>
        </w:rPr>
        <w:t xml:space="preserve"> </w:t>
      </w:r>
    </w:p>
    <w:p w14:paraId="43E849D2" w14:textId="06B4ACEA" w:rsidR="008B64DA" w:rsidRDefault="008B64DA">
      <w:pPr>
        <w:jc w:val="both"/>
        <w:rPr>
          <w:sz w:val="22"/>
          <w:szCs w:val="22"/>
        </w:rPr>
      </w:pPr>
      <w:r>
        <w:rPr>
          <w:sz w:val="22"/>
          <w:szCs w:val="22"/>
        </w:rPr>
        <w:t xml:space="preserve">Tel. č.: </w:t>
      </w:r>
      <w:r w:rsidR="00D226BE">
        <w:rPr>
          <w:sz w:val="22"/>
          <w:szCs w:val="22"/>
        </w:rPr>
        <w:tab/>
      </w:r>
      <w:r w:rsidR="00D226BE">
        <w:rPr>
          <w:sz w:val="22"/>
          <w:szCs w:val="22"/>
        </w:rPr>
        <w:tab/>
      </w:r>
      <w:r w:rsidR="00D226BE">
        <w:rPr>
          <w:sz w:val="22"/>
          <w:szCs w:val="22"/>
        </w:rPr>
        <w:tab/>
      </w:r>
      <w:r>
        <w:rPr>
          <w:sz w:val="22"/>
          <w:szCs w:val="22"/>
        </w:rPr>
        <w:t xml:space="preserve"> e-mail:</w:t>
      </w:r>
    </w:p>
    <w:p w14:paraId="4164E2E4" w14:textId="77777777" w:rsidR="008B64DA" w:rsidRDefault="008B64DA">
      <w:pPr>
        <w:jc w:val="both"/>
      </w:pPr>
      <w:r>
        <w:rPr>
          <w:sz w:val="22"/>
          <w:szCs w:val="22"/>
        </w:rPr>
        <w:t>neplátce DPH</w:t>
      </w:r>
    </w:p>
    <w:p w14:paraId="56612A5B" w14:textId="77777777" w:rsidR="008B64DA" w:rsidRDefault="008B64DA">
      <w:pPr>
        <w:jc w:val="both"/>
      </w:pPr>
    </w:p>
    <w:p w14:paraId="68A2C39E" w14:textId="77777777" w:rsidR="008B64DA" w:rsidRDefault="008B64DA">
      <w:pPr>
        <w:jc w:val="both"/>
        <w:rPr>
          <w:sz w:val="22"/>
          <w:szCs w:val="22"/>
        </w:rPr>
      </w:pPr>
      <w:r>
        <w:rPr>
          <w:b/>
          <w:bCs/>
          <w:sz w:val="22"/>
          <w:szCs w:val="22"/>
        </w:rPr>
        <w:t>Mgr. Petr Lukas</w:t>
      </w:r>
    </w:p>
    <w:p w14:paraId="47376714" w14:textId="77777777" w:rsidR="008B64DA" w:rsidRDefault="008B64DA">
      <w:pPr>
        <w:jc w:val="both"/>
        <w:rPr>
          <w:sz w:val="22"/>
          <w:szCs w:val="22"/>
        </w:rPr>
      </w:pPr>
      <w:r>
        <w:rPr>
          <w:sz w:val="22"/>
          <w:szCs w:val="22"/>
        </w:rPr>
        <w:t>Spoluautor výstavy Největší záhady a tajemství světa</w:t>
      </w:r>
    </w:p>
    <w:p w14:paraId="337A4C93" w14:textId="77777777" w:rsidR="008B64DA" w:rsidRDefault="008B64DA">
      <w:pPr>
        <w:jc w:val="both"/>
        <w:rPr>
          <w:sz w:val="22"/>
          <w:szCs w:val="22"/>
        </w:rPr>
      </w:pPr>
      <w:r>
        <w:rPr>
          <w:sz w:val="22"/>
          <w:szCs w:val="22"/>
        </w:rPr>
        <w:t>Sídlem: Kunštátská 11, Brno, 62100</w:t>
      </w:r>
    </w:p>
    <w:p w14:paraId="75D862DD" w14:textId="77777777" w:rsidR="008B64DA" w:rsidRDefault="008B64DA">
      <w:pPr>
        <w:jc w:val="both"/>
        <w:rPr>
          <w:sz w:val="22"/>
          <w:szCs w:val="22"/>
        </w:rPr>
      </w:pPr>
      <w:r>
        <w:rPr>
          <w:sz w:val="22"/>
          <w:szCs w:val="22"/>
        </w:rPr>
        <w:t>IČ: 72414171</w:t>
      </w:r>
    </w:p>
    <w:p w14:paraId="0955B2B9" w14:textId="2374DD79" w:rsidR="008B64DA" w:rsidRDefault="008B64DA">
      <w:pPr>
        <w:jc w:val="both"/>
        <w:rPr>
          <w:sz w:val="22"/>
          <w:szCs w:val="22"/>
        </w:rPr>
      </w:pPr>
      <w:r>
        <w:rPr>
          <w:sz w:val="22"/>
          <w:szCs w:val="22"/>
        </w:rPr>
        <w:t xml:space="preserve">č. </w:t>
      </w:r>
      <w:proofErr w:type="spellStart"/>
      <w:r>
        <w:rPr>
          <w:sz w:val="22"/>
          <w:szCs w:val="22"/>
        </w:rPr>
        <w:t>ú.</w:t>
      </w:r>
      <w:proofErr w:type="spellEnd"/>
      <w:r>
        <w:rPr>
          <w:sz w:val="22"/>
          <w:szCs w:val="22"/>
        </w:rPr>
        <w:t xml:space="preserve">: </w:t>
      </w:r>
    </w:p>
    <w:p w14:paraId="37B60F31" w14:textId="7E96DAC9" w:rsidR="008B64DA" w:rsidRDefault="008B64DA">
      <w:pPr>
        <w:jc w:val="both"/>
        <w:rPr>
          <w:sz w:val="22"/>
          <w:szCs w:val="22"/>
        </w:rPr>
      </w:pPr>
      <w:r>
        <w:rPr>
          <w:sz w:val="22"/>
          <w:szCs w:val="22"/>
        </w:rPr>
        <w:t>Tel. č.:</w:t>
      </w:r>
      <w:r w:rsidR="00D226BE">
        <w:rPr>
          <w:sz w:val="22"/>
          <w:szCs w:val="22"/>
        </w:rPr>
        <w:tab/>
      </w:r>
      <w:r w:rsidR="00D226BE">
        <w:rPr>
          <w:sz w:val="22"/>
          <w:szCs w:val="22"/>
        </w:rPr>
        <w:tab/>
      </w:r>
      <w:r w:rsidR="00D226BE">
        <w:rPr>
          <w:sz w:val="22"/>
          <w:szCs w:val="22"/>
        </w:rPr>
        <w:tab/>
      </w:r>
      <w:r>
        <w:rPr>
          <w:sz w:val="22"/>
          <w:szCs w:val="22"/>
        </w:rPr>
        <w:t>, e-mail:</w:t>
      </w:r>
    </w:p>
    <w:p w14:paraId="5E71962D" w14:textId="77777777" w:rsidR="008B64DA" w:rsidRDefault="008B64DA">
      <w:pPr>
        <w:jc w:val="both"/>
        <w:rPr>
          <w:sz w:val="22"/>
          <w:szCs w:val="22"/>
        </w:rPr>
      </w:pPr>
      <w:r>
        <w:rPr>
          <w:sz w:val="22"/>
          <w:szCs w:val="22"/>
        </w:rPr>
        <w:t>neplátce DPH</w:t>
      </w:r>
    </w:p>
    <w:p w14:paraId="2C134A8D" w14:textId="77777777" w:rsidR="00D226BE" w:rsidRDefault="00D226BE">
      <w:pPr>
        <w:jc w:val="both"/>
        <w:rPr>
          <w:sz w:val="22"/>
          <w:szCs w:val="22"/>
        </w:rPr>
      </w:pPr>
    </w:p>
    <w:p w14:paraId="469B3236" w14:textId="4E4CBD70" w:rsidR="008B64DA" w:rsidRDefault="003D0D9E">
      <w:pPr>
        <w:jc w:val="both"/>
        <w:rPr>
          <w:sz w:val="22"/>
          <w:szCs w:val="22"/>
        </w:rPr>
      </w:pPr>
      <w:r>
        <w:rPr>
          <w:sz w:val="22"/>
          <w:szCs w:val="22"/>
        </w:rPr>
        <w:t>(dále jen</w:t>
      </w:r>
      <w:r w:rsidR="00D226BE">
        <w:rPr>
          <w:sz w:val="22"/>
          <w:szCs w:val="22"/>
        </w:rPr>
        <w:t xml:space="preserve"> „zhotovitel“</w:t>
      </w:r>
      <w:r>
        <w:rPr>
          <w:sz w:val="22"/>
          <w:szCs w:val="22"/>
        </w:rPr>
        <w:t>)</w:t>
      </w:r>
    </w:p>
    <w:p w14:paraId="4AE210BE" w14:textId="77777777" w:rsidR="008B64DA" w:rsidRDefault="008B64DA">
      <w:pPr>
        <w:jc w:val="both"/>
        <w:rPr>
          <w:sz w:val="22"/>
          <w:szCs w:val="22"/>
        </w:rPr>
      </w:pPr>
    </w:p>
    <w:p w14:paraId="5DA91BAB" w14:textId="5E183BB1" w:rsidR="008B64DA" w:rsidRDefault="00D226BE">
      <w:pPr>
        <w:jc w:val="both"/>
        <w:rPr>
          <w:sz w:val="22"/>
          <w:szCs w:val="22"/>
        </w:rPr>
      </w:pPr>
      <w:r>
        <w:rPr>
          <w:sz w:val="22"/>
          <w:szCs w:val="22"/>
        </w:rPr>
        <w:t>a</w:t>
      </w:r>
    </w:p>
    <w:p w14:paraId="466DC885" w14:textId="77777777" w:rsidR="00D226BE" w:rsidRDefault="00D226BE">
      <w:pPr>
        <w:jc w:val="both"/>
        <w:rPr>
          <w:b/>
          <w:sz w:val="22"/>
          <w:szCs w:val="22"/>
        </w:rPr>
      </w:pPr>
    </w:p>
    <w:p w14:paraId="3B97565F" w14:textId="0CD6FF90" w:rsidR="008B64DA" w:rsidRPr="00D226BE" w:rsidRDefault="00D226BE">
      <w:pPr>
        <w:jc w:val="both"/>
        <w:outlineLvl w:val="0"/>
        <w:rPr>
          <w:b/>
          <w:bCs/>
          <w:sz w:val="22"/>
          <w:szCs w:val="22"/>
        </w:rPr>
      </w:pPr>
      <w:r w:rsidRPr="00D226BE">
        <w:rPr>
          <w:b/>
          <w:bCs/>
          <w:sz w:val="22"/>
          <w:szCs w:val="22"/>
        </w:rPr>
        <w:t>Knihovna, Muzeum a Informační centrum Aš,</w:t>
      </w:r>
    </w:p>
    <w:p w14:paraId="1D2E9993" w14:textId="37716AB6" w:rsidR="00D226BE" w:rsidRPr="00D226BE" w:rsidRDefault="00D226BE">
      <w:pPr>
        <w:jc w:val="both"/>
        <w:outlineLvl w:val="0"/>
        <w:rPr>
          <w:b/>
          <w:bCs/>
          <w:sz w:val="22"/>
          <w:szCs w:val="22"/>
        </w:rPr>
      </w:pPr>
      <w:r w:rsidRPr="00D226BE">
        <w:rPr>
          <w:b/>
          <w:bCs/>
          <w:sz w:val="22"/>
          <w:szCs w:val="22"/>
        </w:rPr>
        <w:t>příspěvková organizace</w:t>
      </w:r>
    </w:p>
    <w:p w14:paraId="37D95FE4" w14:textId="718E611B" w:rsidR="008B64DA" w:rsidRDefault="008B64DA">
      <w:pPr>
        <w:jc w:val="both"/>
        <w:outlineLvl w:val="0"/>
        <w:rPr>
          <w:sz w:val="22"/>
          <w:szCs w:val="22"/>
        </w:rPr>
      </w:pPr>
      <w:r>
        <w:rPr>
          <w:sz w:val="22"/>
          <w:szCs w:val="22"/>
        </w:rPr>
        <w:t>se sídlem</w:t>
      </w:r>
      <w:r w:rsidR="00D226BE">
        <w:rPr>
          <w:sz w:val="22"/>
          <w:szCs w:val="22"/>
        </w:rPr>
        <w:t>: Hlavní 239/23, 352 01 Aš</w:t>
      </w:r>
      <w:r>
        <w:rPr>
          <w:sz w:val="22"/>
          <w:szCs w:val="22"/>
        </w:rPr>
        <w:t xml:space="preserve"> </w:t>
      </w:r>
    </w:p>
    <w:p w14:paraId="29407E74" w14:textId="4D0794F8" w:rsidR="008B64DA" w:rsidRDefault="008B64DA">
      <w:pPr>
        <w:jc w:val="both"/>
        <w:outlineLvl w:val="0"/>
        <w:rPr>
          <w:sz w:val="22"/>
          <w:szCs w:val="22"/>
        </w:rPr>
      </w:pPr>
      <w:r>
        <w:rPr>
          <w:sz w:val="22"/>
          <w:szCs w:val="22"/>
        </w:rPr>
        <w:t>zastoupeno</w:t>
      </w:r>
      <w:r w:rsidR="00D226BE">
        <w:rPr>
          <w:sz w:val="22"/>
          <w:szCs w:val="22"/>
        </w:rPr>
        <w:t xml:space="preserve">: Ing. Mgr. Andreou </w:t>
      </w:r>
      <w:proofErr w:type="spellStart"/>
      <w:r w:rsidR="00D226BE">
        <w:rPr>
          <w:sz w:val="22"/>
          <w:szCs w:val="22"/>
        </w:rPr>
        <w:t>Kuzma</w:t>
      </w:r>
      <w:proofErr w:type="spellEnd"/>
      <w:r w:rsidR="00D226BE">
        <w:rPr>
          <w:sz w:val="22"/>
          <w:szCs w:val="22"/>
        </w:rPr>
        <w:t>, ředitelkou</w:t>
      </w:r>
      <w:r>
        <w:rPr>
          <w:sz w:val="22"/>
          <w:szCs w:val="22"/>
        </w:rPr>
        <w:t xml:space="preserve">  </w:t>
      </w:r>
    </w:p>
    <w:p w14:paraId="2A3FECB4" w14:textId="500A80BE" w:rsidR="008B64DA" w:rsidRDefault="008B64DA">
      <w:pPr>
        <w:jc w:val="both"/>
        <w:rPr>
          <w:sz w:val="22"/>
          <w:szCs w:val="22"/>
        </w:rPr>
      </w:pPr>
      <w:r>
        <w:rPr>
          <w:sz w:val="22"/>
          <w:szCs w:val="22"/>
        </w:rPr>
        <w:t xml:space="preserve">IČ: </w:t>
      </w:r>
      <w:r w:rsidR="00D226BE">
        <w:rPr>
          <w:sz w:val="22"/>
          <w:szCs w:val="22"/>
        </w:rPr>
        <w:t>70940479</w:t>
      </w:r>
    </w:p>
    <w:p w14:paraId="4EB3F100" w14:textId="77777777" w:rsidR="008B64DA" w:rsidRDefault="008B64DA">
      <w:pPr>
        <w:jc w:val="both"/>
        <w:rPr>
          <w:sz w:val="22"/>
          <w:szCs w:val="22"/>
        </w:rPr>
      </w:pPr>
      <w:proofErr w:type="spellStart"/>
      <w:r>
        <w:rPr>
          <w:sz w:val="22"/>
          <w:szCs w:val="22"/>
        </w:rPr>
        <w:t>Č.ú</w:t>
      </w:r>
      <w:proofErr w:type="spellEnd"/>
      <w:r>
        <w:rPr>
          <w:sz w:val="22"/>
          <w:szCs w:val="22"/>
        </w:rPr>
        <w:t xml:space="preserve">. </w:t>
      </w:r>
    </w:p>
    <w:p w14:paraId="3AF430BA" w14:textId="4A2DF599" w:rsidR="00D226BE" w:rsidRDefault="00D226BE">
      <w:pPr>
        <w:jc w:val="both"/>
        <w:rPr>
          <w:sz w:val="22"/>
          <w:szCs w:val="22"/>
        </w:rPr>
      </w:pPr>
      <w:r>
        <w:rPr>
          <w:sz w:val="22"/>
          <w:szCs w:val="22"/>
        </w:rPr>
        <w:t xml:space="preserve">Tel. č.: </w:t>
      </w:r>
    </w:p>
    <w:p w14:paraId="7E3666C7" w14:textId="77777777" w:rsidR="00D226BE" w:rsidRDefault="00D226BE">
      <w:pPr>
        <w:jc w:val="both"/>
        <w:rPr>
          <w:sz w:val="22"/>
          <w:szCs w:val="22"/>
        </w:rPr>
      </w:pPr>
    </w:p>
    <w:p w14:paraId="3214ABEB" w14:textId="77777777" w:rsidR="00D226BE" w:rsidRDefault="00D226BE">
      <w:pPr>
        <w:jc w:val="both"/>
        <w:rPr>
          <w:sz w:val="22"/>
          <w:szCs w:val="22"/>
        </w:rPr>
      </w:pPr>
    </w:p>
    <w:p w14:paraId="450F15DF" w14:textId="77777777" w:rsidR="00D226BE" w:rsidRDefault="00D226BE">
      <w:pPr>
        <w:jc w:val="both"/>
        <w:rPr>
          <w:sz w:val="22"/>
          <w:szCs w:val="22"/>
        </w:rPr>
      </w:pPr>
    </w:p>
    <w:p w14:paraId="683163FD" w14:textId="77777777" w:rsidR="008B64DA" w:rsidRDefault="008B64DA">
      <w:pPr>
        <w:jc w:val="both"/>
        <w:rPr>
          <w:sz w:val="22"/>
          <w:szCs w:val="22"/>
        </w:rPr>
      </w:pPr>
    </w:p>
    <w:p w14:paraId="49D5DCB1" w14:textId="77777777" w:rsidR="008B64DA" w:rsidRDefault="008B64DA">
      <w:pPr>
        <w:jc w:val="both"/>
        <w:rPr>
          <w:sz w:val="22"/>
          <w:szCs w:val="22"/>
        </w:rPr>
      </w:pPr>
      <w:r>
        <w:rPr>
          <w:sz w:val="22"/>
          <w:szCs w:val="22"/>
        </w:rPr>
        <w:t>(dále jen „Objednatel“)</w:t>
      </w:r>
    </w:p>
    <w:p w14:paraId="2C804ED7" w14:textId="77777777" w:rsidR="008B64DA" w:rsidRDefault="008B64DA">
      <w:pPr>
        <w:jc w:val="both"/>
        <w:rPr>
          <w:sz w:val="22"/>
          <w:szCs w:val="22"/>
        </w:rPr>
      </w:pPr>
    </w:p>
    <w:p w14:paraId="515D4E18" w14:textId="77777777" w:rsidR="008B64DA" w:rsidRDefault="008B64DA">
      <w:pPr>
        <w:jc w:val="center"/>
        <w:rPr>
          <w:sz w:val="22"/>
          <w:szCs w:val="22"/>
        </w:rPr>
      </w:pPr>
      <w:r>
        <w:rPr>
          <w:sz w:val="22"/>
          <w:szCs w:val="22"/>
        </w:rPr>
        <w:t>tuto</w:t>
      </w:r>
    </w:p>
    <w:p w14:paraId="0389CD35" w14:textId="77777777" w:rsidR="008B64DA" w:rsidRDefault="008B64DA">
      <w:pPr>
        <w:jc w:val="center"/>
        <w:rPr>
          <w:sz w:val="22"/>
          <w:szCs w:val="22"/>
        </w:rPr>
      </w:pPr>
    </w:p>
    <w:p w14:paraId="58921F9A" w14:textId="77777777" w:rsidR="008B64DA" w:rsidRDefault="008B64DA">
      <w:pPr>
        <w:jc w:val="center"/>
        <w:rPr>
          <w:sz w:val="22"/>
          <w:szCs w:val="22"/>
        </w:rPr>
      </w:pPr>
      <w:r>
        <w:rPr>
          <w:sz w:val="22"/>
          <w:szCs w:val="22"/>
        </w:rPr>
        <w:t xml:space="preserve">smlouvu o spolupráci při organizaci putovního výstavního projektu </w:t>
      </w:r>
    </w:p>
    <w:p w14:paraId="78D33D5F" w14:textId="77777777" w:rsidR="008B64DA" w:rsidRDefault="008B64DA">
      <w:pPr>
        <w:jc w:val="center"/>
        <w:rPr>
          <w:sz w:val="22"/>
          <w:szCs w:val="22"/>
        </w:rPr>
      </w:pPr>
      <w:r>
        <w:rPr>
          <w:sz w:val="22"/>
          <w:szCs w:val="22"/>
        </w:rPr>
        <w:t xml:space="preserve">„Největší záhady a tajemství světa“ </w:t>
      </w:r>
    </w:p>
    <w:p w14:paraId="5AE64AF7" w14:textId="77777777" w:rsidR="008B64DA" w:rsidRDefault="008B64DA">
      <w:pPr>
        <w:jc w:val="center"/>
        <w:rPr>
          <w:sz w:val="22"/>
          <w:szCs w:val="22"/>
        </w:rPr>
      </w:pPr>
    </w:p>
    <w:p w14:paraId="4FD6BD79" w14:textId="77777777" w:rsidR="008B64DA" w:rsidRDefault="008B64DA">
      <w:pPr>
        <w:pStyle w:val="ListParagraph"/>
        <w:numPr>
          <w:ilvl w:val="0"/>
          <w:numId w:val="1"/>
        </w:numPr>
      </w:pPr>
      <w:r>
        <w:rPr>
          <w:rFonts w:ascii="Times New Roman" w:hAnsi="Times New Roman" w:cs="Times New Roman"/>
          <w:b/>
        </w:rPr>
        <w:t>Předmět</w:t>
      </w:r>
    </w:p>
    <w:p w14:paraId="7C2F9954" w14:textId="4057297B" w:rsidR="008B64DA" w:rsidRDefault="008B64DA">
      <w:pPr>
        <w:jc w:val="both"/>
        <w:rPr>
          <w:sz w:val="22"/>
          <w:szCs w:val="22"/>
        </w:rPr>
      </w:pPr>
      <w:r>
        <w:rPr>
          <w:sz w:val="22"/>
          <w:szCs w:val="22"/>
        </w:rPr>
        <w:t>Předmětem této smlouvy je závazek Zhotovitele v termínech daných touto smlouvou za úplatu přivézt</w:t>
      </w:r>
      <w:r w:rsidR="00D226BE">
        <w:rPr>
          <w:sz w:val="22"/>
          <w:szCs w:val="22"/>
        </w:rPr>
        <w:t>,</w:t>
      </w:r>
      <w:r>
        <w:rPr>
          <w:sz w:val="22"/>
          <w:szCs w:val="22"/>
        </w:rPr>
        <w:t xml:space="preserve"> odvézt, připravit, nainstalovat a deinstalovat výstavu s názvem „Největší záhady a tajemství světa“ (dále jen „výstava“) v prostorách </w:t>
      </w:r>
      <w:r w:rsidR="003D0D9E">
        <w:rPr>
          <w:sz w:val="22"/>
          <w:szCs w:val="22"/>
        </w:rPr>
        <w:t>Národopisného m</w:t>
      </w:r>
      <w:r>
        <w:rPr>
          <w:sz w:val="22"/>
          <w:szCs w:val="22"/>
        </w:rPr>
        <w:t>uzea Aš</w:t>
      </w:r>
      <w:r w:rsidR="003D0D9E">
        <w:rPr>
          <w:sz w:val="22"/>
          <w:szCs w:val="22"/>
        </w:rPr>
        <w:t xml:space="preserve"> (Poštovní náměstí 635/1, 352 01 Aš)</w:t>
      </w:r>
      <w:r>
        <w:rPr>
          <w:sz w:val="22"/>
          <w:szCs w:val="22"/>
        </w:rPr>
        <w:t>. Výstavou se pro účely této smlouvy rozumí soubor exponátů na téma Největší záhady a tajemství světa.</w:t>
      </w:r>
    </w:p>
    <w:p w14:paraId="491A2B91" w14:textId="77777777" w:rsidR="008B64DA" w:rsidRDefault="008B64DA">
      <w:pPr>
        <w:jc w:val="both"/>
        <w:rPr>
          <w:sz w:val="22"/>
          <w:szCs w:val="22"/>
        </w:rPr>
      </w:pPr>
      <w:r>
        <w:rPr>
          <w:sz w:val="22"/>
          <w:szCs w:val="22"/>
        </w:rPr>
        <w:t>Objednatel se zavazuje vytvořit pro konání a provoz výstavy podmínky v této smlouvě stanovené.</w:t>
      </w:r>
    </w:p>
    <w:p w14:paraId="0C0643DA" w14:textId="77777777" w:rsidR="008B64DA" w:rsidRDefault="008B64DA">
      <w:pPr>
        <w:jc w:val="both"/>
        <w:rPr>
          <w:sz w:val="22"/>
          <w:szCs w:val="22"/>
        </w:rPr>
      </w:pPr>
    </w:p>
    <w:p w14:paraId="6765C46E" w14:textId="77777777" w:rsidR="008B64DA" w:rsidRDefault="008B64DA">
      <w:pPr>
        <w:jc w:val="both"/>
        <w:rPr>
          <w:b/>
          <w:bCs/>
          <w:sz w:val="22"/>
          <w:szCs w:val="22"/>
        </w:rPr>
      </w:pPr>
    </w:p>
    <w:p w14:paraId="462D9FAE" w14:textId="77777777" w:rsidR="008B64DA" w:rsidRDefault="008B64DA">
      <w:pPr>
        <w:pStyle w:val="ListParagraph"/>
        <w:ind w:left="3540"/>
      </w:pPr>
      <w:r>
        <w:rPr>
          <w:rFonts w:ascii="Times New Roman" w:hAnsi="Times New Roman" w:cs="Times New Roman"/>
          <w:b/>
          <w:bCs/>
        </w:rPr>
        <w:t>II.   Povinnosti zhotovitele</w:t>
      </w:r>
    </w:p>
    <w:p w14:paraId="5F53A961" w14:textId="52F83320" w:rsidR="008B64DA" w:rsidRDefault="008B64DA">
      <w:pPr>
        <w:jc w:val="both"/>
        <w:rPr>
          <w:sz w:val="22"/>
          <w:szCs w:val="22"/>
        </w:rPr>
      </w:pPr>
      <w:r>
        <w:rPr>
          <w:sz w:val="22"/>
          <w:szCs w:val="22"/>
        </w:rPr>
        <w:t xml:space="preserve">Zhotovitel (ve spolupráci s Objednatelem) se zavazuje zajistit instalaci a v závěru deinstalaci. V ojedinělém případě problému s technikou je pro konzultaci na telefonu </w:t>
      </w:r>
      <w:r w:rsidRPr="00D226BE">
        <w:rPr>
          <w:sz w:val="22"/>
          <w:szCs w:val="22"/>
        </w:rPr>
        <w:t>uved</w:t>
      </w:r>
      <w:r w:rsidR="00D226BE" w:rsidRPr="00D226BE">
        <w:rPr>
          <w:sz w:val="22"/>
          <w:szCs w:val="22"/>
        </w:rPr>
        <w:t>ené</w:t>
      </w:r>
      <w:r w:rsidRPr="00D226BE">
        <w:rPr>
          <w:sz w:val="22"/>
          <w:szCs w:val="22"/>
        </w:rPr>
        <w:t>m</w:t>
      </w:r>
      <w:r>
        <w:rPr>
          <w:sz w:val="22"/>
          <w:szCs w:val="22"/>
        </w:rPr>
        <w:t xml:space="preserve"> v hlavičce smlouvy Mgr. O. Rea. O předání exponátů Objednateli a následně zpět Zhotoviteli </w:t>
      </w:r>
      <w:proofErr w:type="gramStart"/>
      <w:r>
        <w:rPr>
          <w:sz w:val="22"/>
          <w:szCs w:val="22"/>
        </w:rPr>
        <w:t>sepíší</w:t>
      </w:r>
      <w:proofErr w:type="gramEnd"/>
      <w:r>
        <w:rPr>
          <w:sz w:val="22"/>
          <w:szCs w:val="22"/>
        </w:rPr>
        <w:t xml:space="preserve"> smluvní strany předávací protokol, v jehož </w:t>
      </w:r>
      <w:r>
        <w:rPr>
          <w:sz w:val="22"/>
          <w:szCs w:val="22"/>
        </w:rPr>
        <w:lastRenderedPageBreak/>
        <w:t>obsahu bude zejména uveden počet a druh exponátů a poznámky k jejich stavu</w:t>
      </w:r>
      <w:bookmarkStart w:id="0" w:name="_GoBack"/>
      <w:bookmarkEnd w:id="0"/>
      <w:r>
        <w:rPr>
          <w:sz w:val="22"/>
          <w:szCs w:val="22"/>
        </w:rPr>
        <w:t xml:space="preserve">. Předávací protokol je </w:t>
      </w:r>
      <w:r w:rsidR="003D0D9E">
        <w:rPr>
          <w:sz w:val="22"/>
          <w:szCs w:val="22"/>
        </w:rPr>
        <w:t xml:space="preserve">nedílnou </w:t>
      </w:r>
      <w:r>
        <w:rPr>
          <w:sz w:val="22"/>
          <w:szCs w:val="22"/>
        </w:rPr>
        <w:t>součástí této smlouvy. Zhotovitel výslovně prohlašuje, že je oprávněným uživatelem exponátů.</w:t>
      </w:r>
    </w:p>
    <w:p w14:paraId="2795DFE8" w14:textId="77777777" w:rsidR="008B64DA" w:rsidRDefault="008B64DA">
      <w:pPr>
        <w:jc w:val="both"/>
        <w:rPr>
          <w:sz w:val="22"/>
          <w:szCs w:val="22"/>
        </w:rPr>
      </w:pPr>
    </w:p>
    <w:p w14:paraId="3BBB8FD0" w14:textId="77777777" w:rsidR="008B64DA" w:rsidRDefault="008B64DA">
      <w:pPr>
        <w:jc w:val="both"/>
        <w:rPr>
          <w:sz w:val="22"/>
          <w:szCs w:val="22"/>
        </w:rPr>
      </w:pPr>
      <w:r>
        <w:rPr>
          <w:sz w:val="22"/>
          <w:szCs w:val="22"/>
        </w:rPr>
        <w:t>Zhotovitel prohlašuje, že součástí výstavy jsou mimo jiné: viz Předávací protokol.</w:t>
      </w:r>
    </w:p>
    <w:p w14:paraId="2588F1CF" w14:textId="77777777" w:rsidR="008B64DA" w:rsidRDefault="008B64DA">
      <w:pPr>
        <w:jc w:val="both"/>
        <w:rPr>
          <w:sz w:val="22"/>
          <w:szCs w:val="22"/>
        </w:rPr>
      </w:pPr>
    </w:p>
    <w:p w14:paraId="11B16479" w14:textId="77777777" w:rsidR="008B64DA" w:rsidRDefault="008B64DA">
      <w:pPr>
        <w:jc w:val="both"/>
        <w:rPr>
          <w:sz w:val="22"/>
          <w:szCs w:val="22"/>
        </w:rPr>
      </w:pPr>
    </w:p>
    <w:p w14:paraId="5D683A5D" w14:textId="77777777" w:rsidR="008B64DA" w:rsidRDefault="008B64DA">
      <w:pPr>
        <w:pStyle w:val="ListParagraph"/>
        <w:ind w:left="0"/>
        <w:jc w:val="center"/>
      </w:pPr>
      <w:r>
        <w:rPr>
          <w:rFonts w:ascii="Times New Roman" w:hAnsi="Times New Roman" w:cs="Times New Roman"/>
          <w:b/>
        </w:rPr>
        <w:t>III.   Povinnosti Objednatele</w:t>
      </w:r>
    </w:p>
    <w:p w14:paraId="3E68BC8D" w14:textId="198898CA" w:rsidR="00AB56A7" w:rsidRDefault="008B64DA">
      <w:pPr>
        <w:jc w:val="both"/>
        <w:rPr>
          <w:sz w:val="22"/>
          <w:szCs w:val="22"/>
        </w:rPr>
      </w:pPr>
      <w:r>
        <w:rPr>
          <w:sz w:val="22"/>
          <w:szCs w:val="22"/>
        </w:rPr>
        <w:t>Objednatel se zavazuje vytvořit pro konání a provoz výstavy následující podmínky v prostorech výstavy</w:t>
      </w:r>
      <w:r w:rsidR="00AB56A7">
        <w:rPr>
          <w:sz w:val="22"/>
          <w:szCs w:val="22"/>
        </w:rPr>
        <w:t xml:space="preserve"> –</w:t>
      </w:r>
    </w:p>
    <w:p w14:paraId="0293FBC6" w14:textId="33C241F2" w:rsidR="008B64DA" w:rsidRDefault="008B64DA">
      <w:pPr>
        <w:jc w:val="both"/>
        <w:rPr>
          <w:rFonts w:ascii="Times New Roman" w:hAnsi="Times New Roman" w:cs="Times New Roman"/>
        </w:rPr>
      </w:pPr>
      <w:r>
        <w:rPr>
          <w:sz w:val="22"/>
          <w:szCs w:val="22"/>
        </w:rPr>
        <w:t>tím se především rozumí:</w:t>
      </w:r>
    </w:p>
    <w:p w14:paraId="022E8352" w14:textId="473ADB6F"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Zajistit prostory vhodné pro instalaci galerijního typu, minimální vlhkost, temperování prostor/, stejně jako bezpečný provoz výstavy;</w:t>
      </w:r>
    </w:p>
    <w:p w14:paraId="4D709098" w14:textId="77777777"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 xml:space="preserve">Zajistit dodávky el. proudu, v příp. potřeby </w:t>
      </w:r>
      <w:proofErr w:type="spellStart"/>
      <w:r>
        <w:rPr>
          <w:rFonts w:ascii="Times New Roman" w:hAnsi="Times New Roman" w:cs="Times New Roman"/>
        </w:rPr>
        <w:t>dosvětlení</w:t>
      </w:r>
      <w:proofErr w:type="spellEnd"/>
      <w:r>
        <w:rPr>
          <w:rFonts w:ascii="Times New Roman" w:hAnsi="Times New Roman" w:cs="Times New Roman"/>
        </w:rPr>
        <w:t xml:space="preserve"> vlastními reflektory nebo bodovými světly; </w:t>
      </w:r>
    </w:p>
    <w:p w14:paraId="726803B5" w14:textId="77777777"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Zajistit funkční elektronický zabezpečovací systém s připojením na bezpečnostní agenturu/policii;</w:t>
      </w:r>
    </w:p>
    <w:p w14:paraId="1B632FEA" w14:textId="77777777"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 xml:space="preserve">Zapůjčit </w:t>
      </w:r>
      <w:r>
        <w:rPr>
          <w:rFonts w:ascii="Times New Roman" w:hAnsi="Times New Roman" w:cs="Times New Roman"/>
          <w:b/>
        </w:rPr>
        <w:t>cca 3-6 ks</w:t>
      </w:r>
      <w:r>
        <w:rPr>
          <w:rFonts w:ascii="Times New Roman" w:hAnsi="Times New Roman" w:cs="Times New Roman"/>
        </w:rPr>
        <w:t xml:space="preserve"> uzamykatelných vitrín/skleníků – na drobné předměty, </w:t>
      </w:r>
      <w:proofErr w:type="spellStart"/>
      <w:r>
        <w:rPr>
          <w:rFonts w:ascii="Times New Roman" w:hAnsi="Times New Roman" w:cs="Times New Roman"/>
        </w:rPr>
        <w:t>paneláž</w:t>
      </w:r>
      <w:proofErr w:type="spellEnd"/>
      <w:r>
        <w:rPr>
          <w:rFonts w:ascii="Times New Roman" w:hAnsi="Times New Roman" w:cs="Times New Roman"/>
        </w:rPr>
        <w:t xml:space="preserve"> na doprovodné texty nebo závěsný systém, příp. stojany na texty (může být i jejich kombinace), osazení stojánků eliminujících pohyb návštěvníků – zejména přístup návštěvníků k vybraným exponátům bez vitrín, </w:t>
      </w:r>
      <w:proofErr w:type="gramStart"/>
      <w:r>
        <w:rPr>
          <w:rFonts w:ascii="Times New Roman" w:hAnsi="Times New Roman" w:cs="Times New Roman"/>
        </w:rPr>
        <w:t>1-2x</w:t>
      </w:r>
      <w:proofErr w:type="gramEnd"/>
      <w:r>
        <w:rPr>
          <w:rFonts w:ascii="Times New Roman" w:hAnsi="Times New Roman" w:cs="Times New Roman"/>
        </w:rPr>
        <w:t xml:space="preserve"> sokl pod hologram a W. mapu; Turínské plátno bude instalováno vč. </w:t>
      </w:r>
      <w:proofErr w:type="spellStart"/>
      <w:r>
        <w:rPr>
          <w:rFonts w:ascii="Times New Roman" w:hAnsi="Times New Roman" w:cs="Times New Roman"/>
        </w:rPr>
        <w:t>videomappingu</w:t>
      </w:r>
      <w:proofErr w:type="spellEnd"/>
      <w:r>
        <w:rPr>
          <w:rFonts w:ascii="Times New Roman" w:hAnsi="Times New Roman" w:cs="Times New Roman"/>
        </w:rPr>
        <w:t xml:space="preserve"> pouze v případě, že to prostorové možnosti dovolí (samostatné Turínské plátno bude instalováno vždy), </w:t>
      </w:r>
    </w:p>
    <w:p w14:paraId="4731F2E8" w14:textId="36709BB9"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 xml:space="preserve">Zajistit řádný provoz výstavy – neustálý dohled v otevírací </w:t>
      </w:r>
      <w:proofErr w:type="gramStart"/>
      <w:r>
        <w:rPr>
          <w:rFonts w:ascii="Times New Roman" w:hAnsi="Times New Roman" w:cs="Times New Roman"/>
        </w:rPr>
        <w:t>době</w:t>
      </w:r>
      <w:r w:rsidR="00AB56A7">
        <w:rPr>
          <w:rStyle w:val="Odkaznakoment"/>
          <w:rFonts w:ascii="Liberation Serif" w:eastAsia="Songti SC" w:hAnsi="Liberation Serif" w:cs="Mangal"/>
          <w:lang w:eastAsia="zh-CN"/>
        </w:rPr>
        <w:t xml:space="preserve">, </w:t>
      </w:r>
      <w:r>
        <w:rPr>
          <w:rFonts w:ascii="Times New Roman" w:hAnsi="Times New Roman" w:cs="Times New Roman"/>
        </w:rPr>
        <w:t xml:space="preserve"> příp.</w:t>
      </w:r>
      <w:proofErr w:type="gramEnd"/>
      <w:r>
        <w:rPr>
          <w:rFonts w:ascii="Times New Roman" w:hAnsi="Times New Roman" w:cs="Times New Roman"/>
        </w:rPr>
        <w:t xml:space="preserve"> průvodce výstavou; </w:t>
      </w:r>
    </w:p>
    <w:p w14:paraId="62409262" w14:textId="77777777"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Pojištění výstavy a exponátů je záležitostí Objednatele a není povinné;</w:t>
      </w:r>
    </w:p>
    <w:p w14:paraId="623CAD37" w14:textId="77777777"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 xml:space="preserve">Zajistit úklid prostor alespoň 1x týdně – v případě nepříznivého počasí i častěji; </w:t>
      </w:r>
    </w:p>
    <w:p w14:paraId="4CCDFB3C" w14:textId="77777777"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Dodržovat zákaz pořádání společenských akcí (rautů, banketů, oslav apod.) v prostorách výstavy (kromě vernisáže);</w:t>
      </w:r>
    </w:p>
    <w:p w14:paraId="152C07FD" w14:textId="77777777"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Zajistit fyzickou výpomoc (min. 2 muži) při vynášení exponátů a pomůcek před a po výstavě;</w:t>
      </w:r>
    </w:p>
    <w:p w14:paraId="553B2A8F" w14:textId="77777777"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Zajistit malý skladovací prostor pro balící materiál a pomůcky k výstavě (krabice, casy);</w:t>
      </w:r>
    </w:p>
    <w:p w14:paraId="59DC8BE3" w14:textId="77777777"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Zajistit a uhradit ubytování pro 3 osoby při instalaci na 1-2 noci a pro 3 osoby při deinstalaci na 1 noc (bude upřesněno);</w:t>
      </w:r>
    </w:p>
    <w:p w14:paraId="7CEF586E" w14:textId="77777777"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Zajistit povolení k průjezdu/vjezdu a parkování pro vozidlo a vozík přepravce (Mgr. O. Rea);</w:t>
      </w:r>
    </w:p>
    <w:p w14:paraId="0520736B" w14:textId="77777777" w:rsidR="008B64DA" w:rsidRDefault="008B64DA">
      <w:pPr>
        <w:pStyle w:val="ListParagraph"/>
        <w:numPr>
          <w:ilvl w:val="0"/>
          <w:numId w:val="2"/>
        </w:numPr>
        <w:spacing w:after="0"/>
        <w:ind w:left="714" w:hanging="357"/>
        <w:jc w:val="both"/>
        <w:rPr>
          <w:rFonts w:ascii="Times New Roman" w:hAnsi="Times New Roman" w:cs="Times New Roman"/>
        </w:rPr>
      </w:pPr>
      <w:r>
        <w:rPr>
          <w:rFonts w:ascii="Times New Roman" w:hAnsi="Times New Roman" w:cs="Times New Roman"/>
        </w:rPr>
        <w:t>Zajistit a uhradit dopravu exponátů na místo konání výstavy (K. Vary – Aš – Liberec a Liberec – Aš – Liberec) – režijní náklady dodávky s vozíkem (Mgr. O. Rea).</w:t>
      </w:r>
    </w:p>
    <w:p w14:paraId="48F8824C" w14:textId="77777777" w:rsidR="008B64DA" w:rsidRDefault="008B64DA">
      <w:pPr>
        <w:pStyle w:val="ListParagraph"/>
        <w:spacing w:after="0"/>
        <w:ind w:left="0"/>
        <w:jc w:val="both"/>
        <w:rPr>
          <w:rFonts w:ascii="Times New Roman" w:hAnsi="Times New Roman" w:cs="Times New Roman"/>
        </w:rPr>
      </w:pPr>
    </w:p>
    <w:p w14:paraId="00AB80D2" w14:textId="77777777" w:rsidR="008B64DA" w:rsidRDefault="008B64DA">
      <w:pPr>
        <w:jc w:val="both"/>
        <w:rPr>
          <w:sz w:val="22"/>
          <w:szCs w:val="22"/>
        </w:rPr>
      </w:pPr>
      <w:r>
        <w:rPr>
          <w:sz w:val="22"/>
          <w:szCs w:val="22"/>
        </w:rPr>
        <w:t>Objednatel není oprávněn použít předměty výstavy pro jiný než sjednaný účel a ani je předat do užívání třetí osobě. Objednatel se zavazuje výstavu (exponáty) zabezpečit před poškozením, ztrátou nebo odcizením. Na předmětech výstavy nebudou prováděny žádné přesuny, zásahy, změny nebo úpravy.</w:t>
      </w:r>
    </w:p>
    <w:p w14:paraId="4E799848" w14:textId="77777777" w:rsidR="008B64DA" w:rsidRDefault="008B64DA">
      <w:pPr>
        <w:jc w:val="both"/>
        <w:rPr>
          <w:sz w:val="22"/>
          <w:szCs w:val="22"/>
        </w:rPr>
      </w:pPr>
      <w:r>
        <w:rPr>
          <w:sz w:val="22"/>
          <w:szCs w:val="22"/>
        </w:rPr>
        <w:t xml:space="preserve">Smluvní strany si sjednávají, že Objednatel po dobu výstavy odpovídá za případné poškození, zničení či odcizení exponátů, zejména proti krádeži, loupeži, vandalismu či škody na věci. </w:t>
      </w:r>
    </w:p>
    <w:p w14:paraId="29D3F181" w14:textId="77777777" w:rsidR="008B64DA" w:rsidRDefault="008B64DA">
      <w:pPr>
        <w:jc w:val="both"/>
        <w:rPr>
          <w:sz w:val="22"/>
          <w:szCs w:val="22"/>
        </w:rPr>
      </w:pPr>
    </w:p>
    <w:p w14:paraId="42E49DA8" w14:textId="77777777" w:rsidR="008B64DA" w:rsidRDefault="008B64DA">
      <w:pPr>
        <w:jc w:val="both"/>
        <w:rPr>
          <w:sz w:val="22"/>
          <w:szCs w:val="22"/>
        </w:rPr>
      </w:pPr>
    </w:p>
    <w:p w14:paraId="57810DEC" w14:textId="77777777" w:rsidR="008B64DA" w:rsidRDefault="008B64DA">
      <w:pPr>
        <w:pStyle w:val="ListParagraph"/>
        <w:ind w:left="0"/>
        <w:jc w:val="center"/>
      </w:pPr>
      <w:r>
        <w:rPr>
          <w:rFonts w:ascii="Times New Roman" w:hAnsi="Times New Roman" w:cs="Times New Roman"/>
          <w:b/>
        </w:rPr>
        <w:t>IV. Termín výstavy</w:t>
      </w:r>
    </w:p>
    <w:p w14:paraId="0CFFF30D" w14:textId="227C8FAE" w:rsidR="008B64DA" w:rsidRDefault="008B64DA">
      <w:pPr>
        <w:jc w:val="both"/>
        <w:rPr>
          <w:sz w:val="22"/>
          <w:szCs w:val="22"/>
        </w:rPr>
      </w:pPr>
      <w:r>
        <w:rPr>
          <w:sz w:val="22"/>
          <w:szCs w:val="22"/>
        </w:rPr>
        <w:t>Zhotovitel předá výstavu do užívání objednateli na dobu určitou v termínu od 4. 9. do 2. 11. 2025 včetně, instalace 2. - 3. 9. 2025, deinstalace</w:t>
      </w:r>
      <w:r w:rsidR="00AB56A7">
        <w:rPr>
          <w:sz w:val="22"/>
          <w:szCs w:val="22"/>
        </w:rPr>
        <w:t xml:space="preserve"> 3. 11. 2025</w:t>
      </w:r>
      <w:r>
        <w:rPr>
          <w:sz w:val="22"/>
          <w:szCs w:val="22"/>
        </w:rPr>
        <w:t>.</w:t>
      </w:r>
    </w:p>
    <w:p w14:paraId="521BE4CE" w14:textId="77777777" w:rsidR="008B64DA" w:rsidRDefault="008B64DA">
      <w:pPr>
        <w:jc w:val="both"/>
        <w:rPr>
          <w:sz w:val="22"/>
          <w:szCs w:val="22"/>
        </w:rPr>
      </w:pPr>
    </w:p>
    <w:p w14:paraId="13259DB0" w14:textId="77777777" w:rsidR="008B64DA" w:rsidRDefault="008B64DA">
      <w:pPr>
        <w:jc w:val="both"/>
        <w:rPr>
          <w:sz w:val="22"/>
          <w:szCs w:val="22"/>
        </w:rPr>
      </w:pPr>
    </w:p>
    <w:p w14:paraId="251F1D2A" w14:textId="77777777" w:rsidR="008B64DA" w:rsidRDefault="008B64DA">
      <w:pPr>
        <w:pStyle w:val="ListParagraph"/>
        <w:ind w:left="0"/>
        <w:jc w:val="center"/>
      </w:pPr>
      <w:r>
        <w:rPr>
          <w:rFonts w:ascii="Times New Roman" w:hAnsi="Times New Roman" w:cs="Times New Roman"/>
          <w:b/>
        </w:rPr>
        <w:t>V. Finanční podmínky a sankce</w:t>
      </w:r>
    </w:p>
    <w:p w14:paraId="35AE9EE3" w14:textId="77777777" w:rsidR="008B64DA" w:rsidRDefault="008B64DA">
      <w:pPr>
        <w:jc w:val="both"/>
        <w:rPr>
          <w:rFonts w:eastAsia="Liberation Serif" w:cs="Liberation Serif"/>
          <w:sz w:val="22"/>
          <w:szCs w:val="22"/>
        </w:rPr>
      </w:pPr>
      <w:r>
        <w:rPr>
          <w:sz w:val="22"/>
          <w:szCs w:val="22"/>
        </w:rPr>
        <w:t>Finanční podmínky jsou po splnění podmínek obou stran podle bodů II. a III. této smlouvy následující:</w:t>
      </w:r>
    </w:p>
    <w:p w14:paraId="07124103" w14:textId="77777777" w:rsidR="008B64DA" w:rsidRDefault="008B64DA">
      <w:pPr>
        <w:jc w:val="both"/>
        <w:rPr>
          <w:rFonts w:ascii="Times New Roman" w:hAnsi="Times New Roman" w:cs="Times New Roman"/>
        </w:rPr>
      </w:pPr>
      <w:r>
        <w:rPr>
          <w:rFonts w:eastAsia="Liberation Serif" w:cs="Liberation Serif"/>
          <w:sz w:val="22"/>
          <w:szCs w:val="22"/>
        </w:rPr>
        <w:t xml:space="preserve">  </w:t>
      </w:r>
    </w:p>
    <w:p w14:paraId="6254BBB2" w14:textId="68F1F530" w:rsidR="008B64DA" w:rsidRDefault="008B64DA">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Objednatel uhradí Zhotovitel</w:t>
      </w:r>
      <w:r w:rsidR="00AB56A7">
        <w:rPr>
          <w:rFonts w:ascii="Times New Roman" w:hAnsi="Times New Roman" w:cs="Times New Roman"/>
        </w:rPr>
        <w:t xml:space="preserve">i </w:t>
      </w:r>
      <w:r>
        <w:rPr>
          <w:rFonts w:ascii="Times New Roman" w:hAnsi="Times New Roman" w:cs="Times New Roman"/>
        </w:rPr>
        <w:t xml:space="preserve">na základě jím vystaveného daňového dokladu částku ve </w:t>
      </w:r>
      <w:r w:rsidRPr="00AB56A7">
        <w:rPr>
          <w:rFonts w:ascii="Times New Roman" w:hAnsi="Times New Roman" w:cs="Times New Roman"/>
        </w:rPr>
        <w:t xml:space="preserve">výši </w:t>
      </w:r>
      <w:r w:rsidR="00AB56A7" w:rsidRPr="00AB56A7">
        <w:rPr>
          <w:rFonts w:ascii="Times New Roman" w:hAnsi="Times New Roman" w:cs="Times New Roman"/>
        </w:rPr>
        <w:t>129.610</w:t>
      </w:r>
      <w:r w:rsidRPr="00AB56A7">
        <w:rPr>
          <w:rFonts w:ascii="Times New Roman" w:hAnsi="Times New Roman" w:cs="Times New Roman"/>
        </w:rPr>
        <w:t xml:space="preserve"> Kč</w:t>
      </w:r>
      <w:r w:rsidR="00AB56A7" w:rsidRPr="00AB56A7">
        <w:rPr>
          <w:rFonts w:ascii="Times New Roman" w:hAnsi="Times New Roman" w:cs="Times New Roman"/>
        </w:rPr>
        <w:t xml:space="preserve"> včetně dopravy</w:t>
      </w:r>
      <w:r w:rsidR="00AB56A7">
        <w:rPr>
          <w:rFonts w:ascii="Times New Roman" w:hAnsi="Times New Roman" w:cs="Times New Roman"/>
        </w:rPr>
        <w:t xml:space="preserve"> (</w:t>
      </w:r>
      <w:r>
        <w:rPr>
          <w:rFonts w:ascii="Times New Roman" w:hAnsi="Times New Roman" w:cs="Times New Roman"/>
        </w:rPr>
        <w:t>částku zašle na účet uvedený v záhlaví smlouvy).</w:t>
      </w:r>
    </w:p>
    <w:p w14:paraId="67B190ED" w14:textId="77777777" w:rsidR="008B64DA" w:rsidRDefault="008B64DA">
      <w:pPr>
        <w:pStyle w:val="ListParagraph"/>
        <w:numPr>
          <w:ilvl w:val="0"/>
          <w:numId w:val="3"/>
        </w:numPr>
        <w:spacing w:after="0" w:line="240" w:lineRule="auto"/>
        <w:jc w:val="both"/>
      </w:pPr>
      <w:r>
        <w:rPr>
          <w:rFonts w:ascii="Times New Roman" w:hAnsi="Times New Roman" w:cs="Times New Roman"/>
        </w:rPr>
        <w:t xml:space="preserve">Smluvní strany se dohodly, že v případě kolapsu 1-2 žárovek v projektoru (= </w:t>
      </w:r>
      <w:proofErr w:type="spellStart"/>
      <w:r>
        <w:rPr>
          <w:rFonts w:ascii="Times New Roman" w:hAnsi="Times New Roman" w:cs="Times New Roman"/>
        </w:rPr>
        <w:t>videomapping</w:t>
      </w:r>
      <w:proofErr w:type="spellEnd"/>
      <w:r>
        <w:rPr>
          <w:rFonts w:ascii="Times New Roman" w:hAnsi="Times New Roman" w:cs="Times New Roman"/>
        </w:rPr>
        <w:t xml:space="preserve"> na Turínském plátně) buď Objednatel uhradí jejich nákup a Zhotovitel (O. Rea) je v nejkratší možné </w:t>
      </w:r>
      <w:r>
        <w:rPr>
          <w:rFonts w:ascii="Times New Roman" w:hAnsi="Times New Roman" w:cs="Times New Roman"/>
        </w:rPr>
        <w:lastRenderedPageBreak/>
        <w:t xml:space="preserve">době přijede vyměnit, nebo Objednatel bude využívat Turínské plátno bez </w:t>
      </w:r>
      <w:proofErr w:type="spellStart"/>
      <w:r>
        <w:rPr>
          <w:rFonts w:ascii="Times New Roman" w:hAnsi="Times New Roman" w:cs="Times New Roman"/>
        </w:rPr>
        <w:t>videomappingu</w:t>
      </w:r>
      <w:proofErr w:type="spellEnd"/>
      <w:r>
        <w:rPr>
          <w:rFonts w:ascii="Times New Roman" w:hAnsi="Times New Roman" w:cs="Times New Roman"/>
        </w:rPr>
        <w:t xml:space="preserve"> – tj. nebude hradit nové žárovky, ale nebude ani používat </w:t>
      </w:r>
      <w:proofErr w:type="spellStart"/>
      <w:r>
        <w:rPr>
          <w:rFonts w:ascii="Times New Roman" w:hAnsi="Times New Roman" w:cs="Times New Roman"/>
        </w:rPr>
        <w:t>videomapping</w:t>
      </w:r>
      <w:proofErr w:type="spellEnd"/>
      <w:r>
        <w:rPr>
          <w:rFonts w:ascii="Times New Roman" w:hAnsi="Times New Roman" w:cs="Times New Roman"/>
        </w:rPr>
        <w:t>.</w:t>
      </w:r>
    </w:p>
    <w:p w14:paraId="2211B834" w14:textId="77777777" w:rsidR="008B64DA" w:rsidRDefault="008B64DA">
      <w:pPr>
        <w:jc w:val="both"/>
        <w:rPr>
          <w:sz w:val="22"/>
          <w:szCs w:val="22"/>
        </w:rPr>
      </w:pPr>
    </w:p>
    <w:p w14:paraId="1CD47025" w14:textId="09B900ED" w:rsidR="008B64DA" w:rsidRDefault="008B64DA">
      <w:pPr>
        <w:jc w:val="both"/>
        <w:rPr>
          <w:sz w:val="22"/>
          <w:szCs w:val="22"/>
        </w:rPr>
      </w:pPr>
      <w:r>
        <w:rPr>
          <w:sz w:val="22"/>
          <w:szCs w:val="22"/>
        </w:rPr>
        <w:t xml:space="preserve">Smluvní strany si sjednávají, že za porušení podmínek a povinností vyplývajících z bodů II., III., IV. a V. smlouvy, je strana oprávněná požadovat po straně porušující závazek smluvní pokutu ve výši </w:t>
      </w:r>
      <w:proofErr w:type="gramStart"/>
      <w:r>
        <w:rPr>
          <w:sz w:val="22"/>
          <w:szCs w:val="22"/>
        </w:rPr>
        <w:t>2.000,-</w:t>
      </w:r>
      <w:proofErr w:type="gramEnd"/>
      <w:r>
        <w:rPr>
          <w:sz w:val="22"/>
          <w:szCs w:val="22"/>
        </w:rPr>
        <w:t xml:space="preserve"> Kč. Úhradou smluvní pokuty není dotčeno právo oprávněného domáhat se splnění smluvní povinnosti povinného. Strana, která porušila svůj závazek je povinna odstranit závadový stav nejpozději do 5 kalendářních dnů nebo uhradit smluvní pokutu. V případě prodlení s odstraněním vad, je oprávněná strana oprávněna od této </w:t>
      </w:r>
      <w:r w:rsidR="00AB56A7">
        <w:rPr>
          <w:sz w:val="22"/>
          <w:szCs w:val="22"/>
        </w:rPr>
        <w:t xml:space="preserve">smlouvy </w:t>
      </w:r>
      <w:r>
        <w:rPr>
          <w:sz w:val="22"/>
          <w:szCs w:val="22"/>
        </w:rPr>
        <w:t>odstoupit. Odstoupení je účinné okamžikem doručení písemného sdělení druhé straně. V případě pochybností o datu doručení sdělení o odstoupení se má za to, že bylo druhé straně doručeno třetím dnem od odeslání. Odstoupením není dotčen nárok na finanční vyrovnání za uplynulý provoz ani smluvní pokuta či případný nárok na náhradu škody.</w:t>
      </w:r>
    </w:p>
    <w:p w14:paraId="1CDEF956" w14:textId="77777777" w:rsidR="008B64DA" w:rsidRDefault="008B64DA">
      <w:pPr>
        <w:jc w:val="both"/>
        <w:rPr>
          <w:sz w:val="22"/>
          <w:szCs w:val="22"/>
        </w:rPr>
      </w:pPr>
    </w:p>
    <w:p w14:paraId="31100D11" w14:textId="77777777" w:rsidR="008B64DA" w:rsidRDefault="008B64DA">
      <w:pPr>
        <w:jc w:val="both"/>
        <w:rPr>
          <w:sz w:val="22"/>
          <w:szCs w:val="22"/>
        </w:rPr>
      </w:pPr>
    </w:p>
    <w:p w14:paraId="4FD22130" w14:textId="77777777" w:rsidR="008B64DA" w:rsidRDefault="008B64DA">
      <w:pPr>
        <w:pStyle w:val="ListParagraph"/>
        <w:ind w:left="0"/>
        <w:jc w:val="center"/>
      </w:pPr>
      <w:r>
        <w:rPr>
          <w:rFonts w:ascii="Times New Roman" w:hAnsi="Times New Roman" w:cs="Times New Roman"/>
          <w:b/>
        </w:rPr>
        <w:t>VI. Náhrada škody</w:t>
      </w:r>
    </w:p>
    <w:p w14:paraId="4B500A60" w14:textId="77777777" w:rsidR="008B64DA" w:rsidRDefault="008B64DA">
      <w:pPr>
        <w:jc w:val="both"/>
        <w:rPr>
          <w:sz w:val="22"/>
          <w:szCs w:val="22"/>
        </w:rPr>
      </w:pPr>
      <w:r>
        <w:rPr>
          <w:sz w:val="22"/>
          <w:szCs w:val="22"/>
        </w:rPr>
        <w:t xml:space="preserve">Smluvní strany sjednávají, že případně vzniklé škody na exponátech a výstavních pomůckách budou Zhotoviteli uhrazeny v celkové výši pořizovací ceny na základě pojistného plnění Objednatele (např. pojištění za škody vzniklé provozní činností objednatele) nebo osobou, která škodu způsobila (např. pojištění majetku a odpovědnosti občanů). Hodnota exponátů bude uvedena v předávacím protokolu. Odpovědnost za škodu vzniká okamžikem fyzického převzetí Objednatelem a trvá až do okamžiku fyzického předání Zhotoviteli. Zhotovitel má právo se během trvání smluvního vztahu přesvědčit o stavu předmětů, jakož i o způsobu nakládání s nimi. Objednatel je povinen tuto kontrolu umožnit. </w:t>
      </w:r>
    </w:p>
    <w:p w14:paraId="58AAD9D8" w14:textId="77777777" w:rsidR="008B64DA" w:rsidRDefault="008B64DA">
      <w:pPr>
        <w:jc w:val="both"/>
        <w:rPr>
          <w:sz w:val="22"/>
          <w:szCs w:val="22"/>
        </w:rPr>
      </w:pPr>
    </w:p>
    <w:p w14:paraId="2D740C8F" w14:textId="77777777" w:rsidR="008B64DA" w:rsidRDefault="008B64DA">
      <w:pPr>
        <w:jc w:val="both"/>
        <w:rPr>
          <w:sz w:val="22"/>
          <w:szCs w:val="22"/>
        </w:rPr>
      </w:pPr>
    </w:p>
    <w:p w14:paraId="5812A2AA" w14:textId="77777777" w:rsidR="008B64DA" w:rsidRDefault="008B64DA">
      <w:pPr>
        <w:pStyle w:val="ListParagraph"/>
        <w:ind w:left="0"/>
        <w:jc w:val="center"/>
      </w:pPr>
      <w:r>
        <w:rPr>
          <w:rFonts w:ascii="Times New Roman" w:hAnsi="Times New Roman" w:cs="Times New Roman"/>
          <w:b/>
        </w:rPr>
        <w:t>VII. Závěrečná ustanovení</w:t>
      </w:r>
    </w:p>
    <w:p w14:paraId="5DF72FFE" w14:textId="28A147ED" w:rsidR="008B64DA" w:rsidRDefault="008B64DA">
      <w:pPr>
        <w:pStyle w:val="Zkladntext"/>
        <w:rPr>
          <w:sz w:val="22"/>
          <w:szCs w:val="22"/>
        </w:rPr>
      </w:pPr>
      <w:r>
        <w:rPr>
          <w:sz w:val="22"/>
          <w:szCs w:val="22"/>
        </w:rPr>
        <w:t xml:space="preserve">Tato smlouva nabývá platnosti a účinnosti dnem podpisu obou stran. Vyhotovuje </w:t>
      </w:r>
      <w:r w:rsidRPr="00AB56A7">
        <w:rPr>
          <w:sz w:val="22"/>
          <w:szCs w:val="22"/>
        </w:rPr>
        <w:t xml:space="preserve">se ve </w:t>
      </w:r>
      <w:r w:rsidR="00AB56A7">
        <w:rPr>
          <w:sz w:val="22"/>
          <w:szCs w:val="22"/>
        </w:rPr>
        <w:t>třech</w:t>
      </w:r>
      <w:r>
        <w:rPr>
          <w:sz w:val="22"/>
          <w:szCs w:val="22"/>
        </w:rPr>
        <w:t xml:space="preserve"> stejnopisech, z nichž Zhotovitelé obdrží každý 1 stejnopis a Objednatel 1 stejnopis. </w:t>
      </w:r>
    </w:p>
    <w:p w14:paraId="6EF9141D" w14:textId="77777777" w:rsidR="008B64DA" w:rsidRDefault="008B64DA">
      <w:pPr>
        <w:pStyle w:val="Zkladntext"/>
        <w:rPr>
          <w:sz w:val="22"/>
          <w:szCs w:val="22"/>
        </w:rPr>
      </w:pPr>
      <w:r>
        <w:rPr>
          <w:sz w:val="22"/>
          <w:szCs w:val="22"/>
        </w:rPr>
        <w:t xml:space="preserve">Vztahy neupravené v této smlouvě se řídí příslušnými ustanoveními Občanského zákoníku. </w:t>
      </w:r>
    </w:p>
    <w:p w14:paraId="64858B81" w14:textId="77777777" w:rsidR="008B64DA" w:rsidRDefault="008B64DA">
      <w:pPr>
        <w:pStyle w:val="Zkladntext"/>
        <w:rPr>
          <w:sz w:val="22"/>
          <w:szCs w:val="22"/>
        </w:rPr>
      </w:pPr>
      <w:r>
        <w:rPr>
          <w:sz w:val="22"/>
          <w:szCs w:val="22"/>
        </w:rPr>
        <w:t>Účastníci smlouvy si obsah smlouvy přečetli, jejímu obsahu rozumí, souhlasí s ním a na důkaz své svobodné a pravé vůle, nikoliv v tísni nebo za nápadně nevýhodných podmínek, na důkaz připojují své vlastnoruční podpisy.</w:t>
      </w:r>
    </w:p>
    <w:p w14:paraId="7245AE26" w14:textId="77777777" w:rsidR="008B64DA" w:rsidRDefault="008B64DA">
      <w:pPr>
        <w:jc w:val="both"/>
        <w:rPr>
          <w:sz w:val="22"/>
          <w:szCs w:val="22"/>
        </w:rPr>
      </w:pPr>
    </w:p>
    <w:p w14:paraId="7636E349" w14:textId="77777777" w:rsidR="008B64DA" w:rsidRDefault="008B64DA">
      <w:pPr>
        <w:jc w:val="both"/>
        <w:rPr>
          <w:sz w:val="22"/>
          <w:szCs w:val="22"/>
        </w:rPr>
      </w:pPr>
    </w:p>
    <w:p w14:paraId="32BA4E8C" w14:textId="77777777" w:rsidR="008B64DA" w:rsidRDefault="008B64DA">
      <w:pPr>
        <w:jc w:val="both"/>
        <w:rPr>
          <w:sz w:val="22"/>
          <w:szCs w:val="22"/>
        </w:rPr>
      </w:pPr>
    </w:p>
    <w:p w14:paraId="30642169" w14:textId="77777777" w:rsidR="008B64DA" w:rsidRDefault="008B64DA">
      <w:pPr>
        <w:jc w:val="both"/>
        <w:rPr>
          <w:sz w:val="22"/>
          <w:szCs w:val="22"/>
        </w:rPr>
      </w:pPr>
    </w:p>
    <w:p w14:paraId="0C6276BD" w14:textId="77777777" w:rsidR="008B64DA" w:rsidRDefault="008B64DA">
      <w:pPr>
        <w:jc w:val="both"/>
        <w:rPr>
          <w:sz w:val="22"/>
          <w:szCs w:val="22"/>
        </w:rPr>
      </w:pPr>
      <w:r>
        <w:rPr>
          <w:sz w:val="22"/>
          <w:szCs w:val="22"/>
        </w:rPr>
        <w:t>V Liberci, dne ……………………</w:t>
      </w:r>
      <w:proofErr w:type="gramStart"/>
      <w:r>
        <w:rPr>
          <w:sz w:val="22"/>
          <w:szCs w:val="22"/>
        </w:rPr>
        <w:t>…….</w:t>
      </w:r>
      <w:proofErr w:type="gramEnd"/>
      <w:r>
        <w:rPr>
          <w:sz w:val="22"/>
          <w:szCs w:val="22"/>
        </w:rPr>
        <w:t>.</w:t>
      </w:r>
      <w:r>
        <w:rPr>
          <w:sz w:val="22"/>
          <w:szCs w:val="22"/>
        </w:rPr>
        <w:tab/>
      </w:r>
      <w:r>
        <w:rPr>
          <w:sz w:val="22"/>
          <w:szCs w:val="22"/>
        </w:rPr>
        <w:tab/>
        <w:t>V Aši, dne …………</w:t>
      </w:r>
      <w:proofErr w:type="gramStart"/>
      <w:r>
        <w:rPr>
          <w:sz w:val="22"/>
          <w:szCs w:val="22"/>
        </w:rPr>
        <w:t>…….</w:t>
      </w:r>
      <w:proofErr w:type="gramEnd"/>
      <w:r>
        <w:rPr>
          <w:sz w:val="22"/>
          <w:szCs w:val="22"/>
        </w:rPr>
        <w:t>.</w:t>
      </w:r>
    </w:p>
    <w:p w14:paraId="3871EFFA" w14:textId="77777777" w:rsidR="008B64DA" w:rsidRDefault="008B64DA">
      <w:pPr>
        <w:jc w:val="both"/>
        <w:rPr>
          <w:sz w:val="22"/>
          <w:szCs w:val="22"/>
        </w:rPr>
      </w:pPr>
    </w:p>
    <w:p w14:paraId="06100FF5" w14:textId="0320C9C7" w:rsidR="008B64DA" w:rsidRDefault="008B64DA">
      <w:pPr>
        <w:jc w:val="both"/>
      </w:pPr>
      <w:r>
        <w:rPr>
          <w:b/>
          <w:sz w:val="22"/>
          <w:szCs w:val="22"/>
        </w:rPr>
        <w:t>Mgr. Ing. Ondřej Rea</w:t>
      </w:r>
      <w:r>
        <w:rPr>
          <w:b/>
          <w:sz w:val="22"/>
          <w:szCs w:val="22"/>
        </w:rPr>
        <w:tab/>
      </w:r>
      <w:r>
        <w:rPr>
          <w:b/>
          <w:sz w:val="22"/>
          <w:szCs w:val="22"/>
        </w:rPr>
        <w:tab/>
      </w:r>
      <w:r w:rsidR="007869C1">
        <w:rPr>
          <w:b/>
          <w:sz w:val="22"/>
          <w:szCs w:val="22"/>
        </w:rPr>
        <w:tab/>
      </w:r>
      <w:r w:rsidR="007869C1">
        <w:rPr>
          <w:b/>
          <w:sz w:val="22"/>
          <w:szCs w:val="22"/>
        </w:rPr>
        <w:tab/>
      </w:r>
      <w:r w:rsidR="007869C1">
        <w:rPr>
          <w:b/>
          <w:sz w:val="22"/>
          <w:szCs w:val="22"/>
        </w:rPr>
        <w:tab/>
        <w:t xml:space="preserve">Ing. Mgr. Andrea </w:t>
      </w:r>
      <w:proofErr w:type="spellStart"/>
      <w:r w:rsidR="007869C1">
        <w:rPr>
          <w:b/>
          <w:sz w:val="22"/>
          <w:szCs w:val="22"/>
        </w:rPr>
        <w:t>Kuzma</w:t>
      </w:r>
      <w:proofErr w:type="spellEnd"/>
      <w:r w:rsidR="007869C1">
        <w:rPr>
          <w:b/>
          <w:sz w:val="22"/>
          <w:szCs w:val="22"/>
        </w:rPr>
        <w:t>, ředitelka organizace</w:t>
      </w:r>
    </w:p>
    <w:p w14:paraId="3140DE15" w14:textId="77777777" w:rsidR="008B64DA" w:rsidRDefault="008B64DA">
      <w:pPr>
        <w:jc w:val="both"/>
      </w:pPr>
    </w:p>
    <w:p w14:paraId="20948853" w14:textId="77777777" w:rsidR="008B64DA" w:rsidRDefault="008B64DA">
      <w:pPr>
        <w:jc w:val="both"/>
      </w:pPr>
    </w:p>
    <w:p w14:paraId="7D3E9092" w14:textId="77777777" w:rsidR="008B64DA" w:rsidRDefault="008B64DA">
      <w:pPr>
        <w:jc w:val="both"/>
      </w:pPr>
      <w:r>
        <w:rPr>
          <w:sz w:val="22"/>
          <w:szCs w:val="22"/>
        </w:rPr>
        <w:t>V Brně, dne …………………………….</w:t>
      </w:r>
    </w:p>
    <w:p w14:paraId="643D289F" w14:textId="77777777" w:rsidR="008B64DA" w:rsidRDefault="008B64DA">
      <w:pPr>
        <w:jc w:val="both"/>
      </w:pPr>
    </w:p>
    <w:p w14:paraId="194C5812" w14:textId="77777777" w:rsidR="008B64DA" w:rsidRDefault="008B64DA">
      <w:pPr>
        <w:jc w:val="both"/>
      </w:pPr>
      <w:r>
        <w:rPr>
          <w:b/>
          <w:sz w:val="22"/>
          <w:szCs w:val="22"/>
        </w:rPr>
        <w:t>Mgr. Petr Lukas</w:t>
      </w:r>
      <w:r>
        <w:rPr>
          <w:b/>
          <w:sz w:val="22"/>
          <w:szCs w:val="22"/>
        </w:rPr>
        <w:tab/>
      </w:r>
      <w:r>
        <w:rPr>
          <w:b/>
          <w:sz w:val="22"/>
          <w:szCs w:val="22"/>
        </w:rPr>
        <w:tab/>
      </w:r>
    </w:p>
    <w:p w14:paraId="20DB6B21" w14:textId="77777777" w:rsidR="008B64DA" w:rsidRDefault="008B64DA"/>
    <w:p w14:paraId="1CA99A7F" w14:textId="77777777" w:rsidR="008B64DA" w:rsidRDefault="008B64DA"/>
    <w:sectPr w:rsidR="008B64DA">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Songti SC">
    <w:charset w:val="01"/>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PingFang SC">
    <w:charset w:val="01"/>
    <w:family w:val="auto"/>
    <w:pitch w:val="variable"/>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0"/>
        </w:tabs>
        <w:ind w:left="4260" w:hanging="720"/>
      </w:pPr>
    </w:lvl>
    <w:lvl w:ilvl="1">
      <w:start w:val="1"/>
      <w:numFmt w:val="lowerLetter"/>
      <w:lvlText w:val="%2."/>
      <w:lvlJc w:val="left"/>
      <w:pPr>
        <w:tabs>
          <w:tab w:val="num" w:pos="0"/>
        </w:tabs>
        <w:ind w:left="4620" w:hanging="360"/>
      </w:pPr>
    </w:lvl>
    <w:lvl w:ilvl="2">
      <w:start w:val="1"/>
      <w:numFmt w:val="lowerRoman"/>
      <w:lvlText w:val="%3."/>
      <w:lvlJc w:val="right"/>
      <w:pPr>
        <w:tabs>
          <w:tab w:val="num" w:pos="0"/>
        </w:tabs>
        <w:ind w:left="5340" w:hanging="180"/>
      </w:pPr>
    </w:lvl>
    <w:lvl w:ilvl="3">
      <w:start w:val="1"/>
      <w:numFmt w:val="decimal"/>
      <w:lvlText w:val="%4."/>
      <w:lvlJc w:val="left"/>
      <w:pPr>
        <w:tabs>
          <w:tab w:val="num" w:pos="0"/>
        </w:tabs>
        <w:ind w:left="6060" w:hanging="360"/>
      </w:pPr>
    </w:lvl>
    <w:lvl w:ilvl="4">
      <w:start w:val="1"/>
      <w:numFmt w:val="lowerLetter"/>
      <w:lvlText w:val="%5."/>
      <w:lvlJc w:val="left"/>
      <w:pPr>
        <w:tabs>
          <w:tab w:val="num" w:pos="0"/>
        </w:tabs>
        <w:ind w:left="6780" w:hanging="360"/>
      </w:pPr>
    </w:lvl>
    <w:lvl w:ilvl="5">
      <w:start w:val="1"/>
      <w:numFmt w:val="lowerRoman"/>
      <w:lvlText w:val="%6."/>
      <w:lvlJc w:val="right"/>
      <w:pPr>
        <w:tabs>
          <w:tab w:val="num" w:pos="0"/>
        </w:tabs>
        <w:ind w:left="7500" w:hanging="180"/>
      </w:pPr>
    </w:lvl>
    <w:lvl w:ilvl="6">
      <w:start w:val="1"/>
      <w:numFmt w:val="decimal"/>
      <w:lvlText w:val="%7."/>
      <w:lvlJc w:val="left"/>
      <w:pPr>
        <w:tabs>
          <w:tab w:val="num" w:pos="0"/>
        </w:tabs>
        <w:ind w:left="8220" w:hanging="360"/>
      </w:pPr>
    </w:lvl>
    <w:lvl w:ilvl="7">
      <w:start w:val="1"/>
      <w:numFmt w:val="lowerLetter"/>
      <w:lvlText w:val="%8."/>
      <w:lvlJc w:val="left"/>
      <w:pPr>
        <w:tabs>
          <w:tab w:val="num" w:pos="0"/>
        </w:tabs>
        <w:ind w:left="8940" w:hanging="360"/>
      </w:pPr>
    </w:lvl>
    <w:lvl w:ilvl="8">
      <w:start w:val="1"/>
      <w:numFmt w:val="lowerRoman"/>
      <w:lvlText w:val="%9."/>
      <w:lvlJc w:val="right"/>
      <w:pPr>
        <w:tabs>
          <w:tab w:val="num" w:pos="0"/>
        </w:tabs>
        <w:ind w:left="966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1798252">
    <w:abstractNumId w:val="0"/>
  </w:num>
  <w:num w:numId="2" w16cid:durableId="75516423">
    <w:abstractNumId w:val="1"/>
  </w:num>
  <w:num w:numId="3" w16cid:durableId="733240975">
    <w:abstractNumId w:val="2"/>
  </w:num>
  <w:num w:numId="4" w16cid:durableId="1613397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0D9E"/>
    <w:rsid w:val="00147781"/>
    <w:rsid w:val="003D0D9E"/>
    <w:rsid w:val="00687D74"/>
    <w:rsid w:val="007869C1"/>
    <w:rsid w:val="008B64DA"/>
    <w:rsid w:val="00A02A8B"/>
    <w:rsid w:val="00AA7F88"/>
    <w:rsid w:val="00AB56A7"/>
    <w:rsid w:val="00D226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6A3825"/>
  <w15:chartTrackingRefBased/>
  <w15:docId w15:val="{E5C34E3F-44F2-42B7-9B4E-0CAB1F13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Songti SC" w:hAnsi="Liberation Serif" w:cs="Arial Unicode MS"/>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
    <w:name w:val="Default Paragraph Font"/>
  </w:style>
  <w:style w:type="character" w:styleId="Hypertextovodkaz">
    <w:name w:val="Hyperlink"/>
    <w:rPr>
      <w:color w:val="0000FF"/>
      <w:u w:val="single"/>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paragraph" w:customStyle="1" w:styleId="Heading">
    <w:name w:val="Heading"/>
    <w:basedOn w:val="Normln"/>
    <w:next w:val="Zkladntext"/>
    <w:pPr>
      <w:keepNext/>
      <w:spacing w:before="240" w:after="120"/>
    </w:pPr>
    <w:rPr>
      <w:rFonts w:ascii="Liberation Sans" w:eastAsia="PingFang SC"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pPr>
      <w:suppressLineNumbers/>
    </w:pPr>
  </w:style>
  <w:style w:type="paragraph" w:customStyle="1" w:styleId="ListParagraph">
    <w:name w:val="List Paragraph"/>
    <w:basedOn w:val="Normln"/>
    <w:pPr>
      <w:spacing w:after="200" w:line="276" w:lineRule="auto"/>
      <w:ind w:left="720"/>
    </w:pPr>
    <w:rPr>
      <w:rFonts w:ascii="Calibri" w:eastAsia="Calibri" w:hAnsi="Calibri" w:cs="Calibri"/>
      <w:sz w:val="22"/>
      <w:szCs w:val="22"/>
      <w:lang w:eastAsia="en-US"/>
    </w:rPr>
  </w:style>
  <w:style w:type="character" w:styleId="Odkaznakoment">
    <w:name w:val="annotation reference"/>
    <w:uiPriority w:val="99"/>
    <w:semiHidden/>
    <w:unhideWhenUsed/>
    <w:rsid w:val="003D0D9E"/>
    <w:rPr>
      <w:sz w:val="16"/>
      <w:szCs w:val="16"/>
    </w:rPr>
  </w:style>
  <w:style w:type="paragraph" w:styleId="Textkomente">
    <w:name w:val="annotation text"/>
    <w:basedOn w:val="Normln"/>
    <w:link w:val="TextkomenteChar"/>
    <w:uiPriority w:val="99"/>
    <w:semiHidden/>
    <w:unhideWhenUsed/>
    <w:rsid w:val="003D0D9E"/>
    <w:rPr>
      <w:rFonts w:cs="Mangal"/>
      <w:sz w:val="20"/>
      <w:szCs w:val="18"/>
    </w:rPr>
  </w:style>
  <w:style w:type="character" w:customStyle="1" w:styleId="TextkomenteChar">
    <w:name w:val="Text komentáře Char"/>
    <w:link w:val="Textkomente"/>
    <w:uiPriority w:val="99"/>
    <w:semiHidden/>
    <w:rsid w:val="003D0D9E"/>
    <w:rPr>
      <w:rFonts w:ascii="Liberation Serif" w:eastAsia="Songti SC" w:hAnsi="Liberation Serif" w:cs="Mangal"/>
      <w:kern w:val="2"/>
      <w:szCs w:val="18"/>
      <w:lang w:eastAsia="zh-CN" w:bidi="hi-IN"/>
    </w:rPr>
  </w:style>
  <w:style w:type="paragraph" w:styleId="Pedmtkomente">
    <w:name w:val="annotation subject"/>
    <w:basedOn w:val="Textkomente"/>
    <w:next w:val="Textkomente"/>
    <w:link w:val="PedmtkomenteChar"/>
    <w:uiPriority w:val="99"/>
    <w:semiHidden/>
    <w:unhideWhenUsed/>
    <w:rsid w:val="003D0D9E"/>
    <w:rPr>
      <w:b/>
      <w:bCs/>
    </w:rPr>
  </w:style>
  <w:style w:type="character" w:customStyle="1" w:styleId="PedmtkomenteChar">
    <w:name w:val="Předmět komentáře Char"/>
    <w:link w:val="Pedmtkomente"/>
    <w:uiPriority w:val="99"/>
    <w:semiHidden/>
    <w:rsid w:val="003D0D9E"/>
    <w:rPr>
      <w:rFonts w:ascii="Liberation Serif" w:eastAsia="Songti SC" w:hAnsi="Liberation Serif" w:cs="Mangal"/>
      <w:b/>
      <w:bCs/>
      <w:kern w:val="2"/>
      <w:szCs w:val="18"/>
      <w:lang w:eastAsia="zh-CN" w:bidi="hi-IN"/>
    </w:rPr>
  </w:style>
  <w:style w:type="paragraph" w:styleId="Textbubliny">
    <w:name w:val="Balloon Text"/>
    <w:basedOn w:val="Normln"/>
    <w:link w:val="TextbublinyChar"/>
    <w:uiPriority w:val="99"/>
    <w:semiHidden/>
    <w:unhideWhenUsed/>
    <w:rsid w:val="003D0D9E"/>
    <w:rPr>
      <w:rFonts w:ascii="Tahoma" w:hAnsi="Tahoma" w:cs="Mangal"/>
      <w:sz w:val="16"/>
      <w:szCs w:val="14"/>
    </w:rPr>
  </w:style>
  <w:style w:type="character" w:customStyle="1" w:styleId="TextbublinyChar">
    <w:name w:val="Text bubliny Char"/>
    <w:link w:val="Textbubliny"/>
    <w:uiPriority w:val="99"/>
    <w:semiHidden/>
    <w:rsid w:val="003D0D9E"/>
    <w:rPr>
      <w:rFonts w:ascii="Tahoma" w:eastAsia="Songti SC"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1064</Words>
  <Characters>6283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7333</CharactersWithSpaces>
  <SharedDoc>false</SharedDoc>
  <HLinks>
    <vt:vector size="12" baseType="variant">
      <vt:variant>
        <vt:i4>2359325</vt:i4>
      </vt:variant>
      <vt:variant>
        <vt:i4>3</vt:i4>
      </vt:variant>
      <vt:variant>
        <vt:i4>0</vt:i4>
      </vt:variant>
      <vt:variant>
        <vt:i4>5</vt:i4>
      </vt:variant>
      <vt:variant>
        <vt:lpwstr>mailto:info@letohradekbrno.cz</vt:lpwstr>
      </vt:variant>
      <vt:variant>
        <vt:lpwstr/>
      </vt:variant>
      <vt:variant>
        <vt:i4>7929922</vt:i4>
      </vt:variant>
      <vt:variant>
        <vt:i4>0</vt:i4>
      </vt:variant>
      <vt:variant>
        <vt:i4>0</vt:i4>
      </vt:variant>
      <vt:variant>
        <vt:i4>5</vt:i4>
      </vt:variant>
      <vt:variant>
        <vt:lpwstr>mailto:info@reamodels.cz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Zvěřinová</dc:creator>
  <cp:keywords/>
  <cp:lastModifiedBy>Naďa Zvěřinová</cp:lastModifiedBy>
  <cp:revision>2</cp:revision>
  <cp:lastPrinted>1601-01-01T00:00:00Z</cp:lastPrinted>
  <dcterms:created xsi:type="dcterms:W3CDTF">2025-05-28T21:28:00Z</dcterms:created>
  <dcterms:modified xsi:type="dcterms:W3CDTF">2025-05-28T21:28:00Z</dcterms:modified>
</cp:coreProperties>
</file>