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7241100825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P24</w:t>
      </w:r>
      <w:r>
        <w:rPr>
          <w:spacing w:val="-5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2993" w:val="left" w:leader="none"/>
        </w:tabs>
        <w:spacing w:before="1"/>
        <w:ind w:left="112" w:right="165"/>
      </w:pPr>
      <w:r>
        <w:rPr/>
        <w:t>obchodní</w:t>
      </w:r>
      <w:r>
        <w:rPr>
          <w:spacing w:val="-3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 Městským</w:t>
      </w:r>
      <w:r>
        <w:rPr>
          <w:spacing w:val="-2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Praze,</w:t>
      </w:r>
      <w:r>
        <w:rPr>
          <w:spacing w:val="-3"/>
        </w:rPr>
        <w:t> </w:t>
      </w:r>
      <w:r>
        <w:rPr/>
        <w:t>oddíl C,</w:t>
      </w:r>
      <w:r>
        <w:rPr>
          <w:spacing w:val="-3"/>
        </w:rPr>
        <w:t> </w:t>
      </w:r>
      <w:r>
        <w:rPr/>
        <w:t>vložka</w:t>
      </w:r>
      <w:r>
        <w:rPr>
          <w:spacing w:val="-2"/>
        </w:rPr>
        <w:t> </w:t>
      </w:r>
      <w:r>
        <w:rPr/>
        <w:t>259674 se sídlem:</w:t>
        <w:tab/>
        <w:t>náměstí Padlých 20, Nebušice, 164 00 Praha 6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051</w:t>
      </w:r>
      <w:r>
        <w:rPr>
          <w:spacing w:val="-2"/>
        </w:rPr>
        <w:t> </w:t>
      </w:r>
      <w:r>
        <w:rPr/>
        <w:t>86</w:t>
      </w:r>
      <w:r>
        <w:rPr>
          <w:spacing w:val="-2"/>
        </w:rPr>
        <w:t> </w:t>
      </w:r>
      <w:r>
        <w:rPr>
          <w:spacing w:val="-5"/>
        </w:rPr>
        <w:t>781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Otakarem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ě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 d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37" w:lineRule="auto" w:before="3"/>
        <w:ind w:left="112" w:right="5725"/>
      </w:pPr>
      <w:r>
        <w:rPr/>
        <w:t>číslo účtu:</w:t>
        <w:tab/>
      </w:r>
      <w:r>
        <w:rPr>
          <w:spacing w:val="-2"/>
        </w:rPr>
        <w:t>311280652/0300 </w:t>
      </w:r>
      <w:r>
        <w:rPr/>
        <w:t>(dále jen „příjemce podpory“)</w:t>
      </w: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spacing w:before="1"/>
        <w:ind w:left="3435" w:right="343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7241100825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2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536"/>
        <w:jc w:val="both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7"/>
        </w:rPr>
        <w:t> </w:t>
      </w:r>
      <w:r>
        <w:rPr/>
        <w:t>P24</w:t>
      </w:r>
      <w:r>
        <w:rPr>
          <w:spacing w:val="-5"/>
        </w:rPr>
        <w:t> </w:t>
      </w:r>
      <w:r>
        <w:rPr/>
        <w:t>s.r.o.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Myčka</w:t>
      </w:r>
      <w:r>
        <w:rPr>
          <w:spacing w:val="-7"/>
        </w:rPr>
        <w:t> </w:t>
      </w:r>
      <w:r>
        <w:rPr/>
        <w:t>Uhříněves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ppč.1386/4</w:t>
      </w:r>
      <w:r>
        <w:rPr>
          <w:spacing w:val="-6"/>
        </w:rPr>
        <w:t> </w:t>
      </w:r>
      <w:r>
        <w:rPr/>
        <w:t>Praha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Uhříněves“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5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5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5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3"/>
          <w:sz w:val="20"/>
        </w:rPr>
        <w:t> </w:t>
      </w:r>
      <w:r>
        <w:rPr>
          <w:sz w:val="20"/>
        </w:rPr>
        <w:t>trhem</w:t>
      </w:r>
      <w:r>
        <w:rPr>
          <w:spacing w:val="-2"/>
          <w:sz w:val="20"/>
        </w:rPr>
        <w:t> </w:t>
      </w:r>
      <w:r>
        <w:rPr>
          <w:sz w:val="20"/>
        </w:rPr>
        <w:t>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left="3437" w:right="3081"/>
      </w:pPr>
      <w:r>
        <w:rPr>
          <w:spacing w:val="-5"/>
        </w:rPr>
        <w:t>II.</w:t>
      </w:r>
    </w:p>
    <w:p>
      <w:pPr>
        <w:pStyle w:val="Heading2"/>
        <w:spacing w:line="265" w:lineRule="exact"/>
        <w:ind w:left="3437" w:right="308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716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486,70 Kč </w:t>
      </w:r>
      <w:r>
        <w:rPr>
          <w:sz w:val="20"/>
        </w:rPr>
        <w:t>(slovy: sedm set šestnáct tisíc čtyři sta osmdesát šest korun českých, sedmdesát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123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2 388 289,00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 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w w:val="95"/>
          <w:sz w:val="20"/>
        </w:rPr>
        <w:t>Při</w:t>
      </w:r>
      <w:r>
        <w:rPr>
          <w:spacing w:val="7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7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7"/>
          <w:sz w:val="20"/>
        </w:rPr>
        <w:t> </w:t>
      </w:r>
      <w:r>
        <w:rPr>
          <w:w w:val="95"/>
          <w:sz w:val="20"/>
        </w:rPr>
        <w:t>akce</w:t>
      </w:r>
      <w:r>
        <w:rPr>
          <w:spacing w:val="5"/>
          <w:sz w:val="20"/>
        </w:rPr>
        <w:t> </w:t>
      </w:r>
      <w:r>
        <w:rPr>
          <w:w w:val="95"/>
          <w:sz w:val="20"/>
        </w:rPr>
        <w:t>a</w:t>
      </w:r>
      <w:r>
        <w:rPr>
          <w:spacing w:val="8"/>
          <w:sz w:val="20"/>
        </w:rPr>
        <w:t> </w:t>
      </w:r>
      <w:r>
        <w:rPr>
          <w:w w:val="95"/>
          <w:sz w:val="20"/>
        </w:rPr>
        <w:t>z</w:t>
      </w:r>
      <w:r>
        <w:rPr>
          <w:spacing w:val="8"/>
          <w:sz w:val="20"/>
        </w:rPr>
        <w:t> </w:t>
      </w:r>
      <w:r>
        <w:rPr>
          <w:w w:val="95"/>
          <w:sz w:val="20"/>
        </w:rPr>
        <w:t>nich</w:t>
      </w:r>
      <w:r>
        <w:rPr>
          <w:spacing w:val="7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6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1"/>
          <w:sz w:val="20"/>
        </w:rPr>
        <w:t> </w:t>
      </w:r>
      <w:r>
        <w:rPr>
          <w:w w:val="95"/>
          <w:sz w:val="20"/>
        </w:rPr>
        <w:t>se</w:t>
      </w:r>
      <w:r>
        <w:rPr>
          <w:spacing w:val="6"/>
          <w:sz w:val="20"/>
        </w:rPr>
        <w:t> </w:t>
      </w:r>
      <w:r>
        <w:rPr>
          <w:w w:val="95"/>
          <w:sz w:val="20"/>
        </w:rPr>
        <w:t>bude</w:t>
      </w:r>
      <w:r>
        <w:rPr>
          <w:spacing w:val="7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7"/>
          <w:sz w:val="20"/>
        </w:rPr>
        <w:t> </w:t>
      </w:r>
      <w:r>
        <w:rPr>
          <w:w w:val="95"/>
          <w:sz w:val="20"/>
        </w:rPr>
        <w:t>ze</w:t>
      </w:r>
      <w:r>
        <w:rPr>
          <w:spacing w:val="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čl.</w:t>
      </w:r>
      <w:r>
        <w:rPr>
          <w:spacing w:val="7"/>
          <w:sz w:val="20"/>
        </w:rPr>
        <w:t> </w:t>
      </w:r>
      <w:r>
        <w:rPr>
          <w:w w:val="95"/>
          <w:sz w:val="20"/>
        </w:rPr>
        <w:t>9</w:t>
      </w:r>
      <w:r>
        <w:rPr>
          <w:spacing w:val="8"/>
          <w:sz w:val="20"/>
        </w:rPr>
        <w:t> </w:t>
      </w:r>
      <w:r>
        <w:rPr>
          <w:w w:val="95"/>
          <w:sz w:val="20"/>
        </w:rPr>
        <w:t>a</w:t>
      </w:r>
      <w:r>
        <w:rPr>
          <w:spacing w:val="7"/>
          <w:sz w:val="20"/>
        </w:rPr>
        <w:t> </w:t>
      </w:r>
      <w:r>
        <w:rPr>
          <w:w w:val="95"/>
          <w:sz w:val="20"/>
        </w:rPr>
        <w:t>10</w:t>
      </w:r>
      <w:r>
        <w:rPr>
          <w:spacing w:val="9"/>
          <w:sz w:val="20"/>
        </w:rPr>
        <w:t> </w:t>
      </w:r>
      <w:r>
        <w:rPr>
          <w:spacing w:val="-2"/>
          <w:w w:val="95"/>
          <w:sz w:val="20"/>
        </w:rPr>
        <w:t>Výzvy.</w:t>
      </w:r>
    </w:p>
    <w:p>
      <w:pPr>
        <w:pStyle w:val="BodyText"/>
      </w:pPr>
    </w:p>
    <w:p>
      <w:pPr>
        <w:pStyle w:val="Heading1"/>
        <w:ind w:left="3435"/>
      </w:pPr>
      <w:r>
        <w:rPr>
          <w:spacing w:val="-4"/>
        </w:rPr>
        <w:t>III.</w:t>
      </w:r>
    </w:p>
    <w:p>
      <w:pPr>
        <w:pStyle w:val="Heading2"/>
        <w:spacing w:before="1"/>
        <w:ind w:left="3434" w:right="3436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5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22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</w:pPr>
      <w:r>
        <w:rPr>
          <w:spacing w:val="-5"/>
        </w:rPr>
        <w:t>IV.</w:t>
      </w:r>
    </w:p>
    <w:p>
      <w:pPr>
        <w:pStyle w:val="Heading2"/>
        <w:ind w:left="1345" w:right="134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left"/>
        <w:rPr>
          <w:sz w:val="20"/>
        </w:rPr>
      </w:pPr>
      <w:r>
        <w:rPr>
          <w:sz w:val="20"/>
        </w:rPr>
        <w:t>splní účel akce „Instalace FVE P24 s.r.o. - Myčka Uhříněves – ppč.1386/4 Praha - Uhříněves“ tím, že akce</w:t>
      </w:r>
      <w:r>
        <w:rPr>
          <w:spacing w:val="40"/>
          <w:sz w:val="20"/>
        </w:rPr>
        <w:t> </w:t>
      </w:r>
      <w:r>
        <w:rPr>
          <w:sz w:val="20"/>
        </w:rPr>
        <w:t>bude 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3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> </w:t>
      </w:r>
      <w:r>
        <w:rPr>
          <w:sz w:val="20"/>
        </w:rPr>
        <w:t>projektu</w:t>
      </w:r>
      <w:r>
        <w:rPr>
          <w:spacing w:val="27"/>
          <w:sz w:val="20"/>
        </w:rPr>
        <w:t> </w:t>
      </w:r>
      <w:r>
        <w:rPr>
          <w:sz w:val="20"/>
        </w:rPr>
        <w:t>dojde</w:t>
      </w:r>
      <w:r>
        <w:rPr>
          <w:spacing w:val="28"/>
          <w:sz w:val="20"/>
        </w:rPr>
        <w:t> </w:t>
      </w:r>
      <w:r>
        <w:rPr>
          <w:sz w:val="20"/>
        </w:rPr>
        <w:t>k</w:t>
      </w:r>
      <w:r>
        <w:rPr>
          <w:spacing w:val="27"/>
          <w:sz w:val="20"/>
        </w:rPr>
        <w:t> </w:t>
      </w:r>
      <w:r>
        <w:rPr>
          <w:sz w:val="20"/>
        </w:rPr>
        <w:t>výstavbě</w:t>
      </w:r>
      <w:r>
        <w:rPr>
          <w:spacing w:val="26"/>
          <w:sz w:val="20"/>
        </w:rPr>
        <w:t> </w:t>
      </w:r>
      <w:r>
        <w:rPr>
          <w:sz w:val="20"/>
        </w:rPr>
        <w:t>nové</w:t>
      </w:r>
      <w:r>
        <w:rPr>
          <w:spacing w:val="27"/>
          <w:sz w:val="20"/>
        </w:rPr>
        <w:t> </w:t>
      </w:r>
      <w:r>
        <w:rPr>
          <w:sz w:val="20"/>
        </w:rPr>
        <w:t>fotovoltaické</w:t>
      </w:r>
      <w:r>
        <w:rPr>
          <w:spacing w:val="26"/>
          <w:sz w:val="20"/>
        </w:rPr>
        <w:t> </w:t>
      </w:r>
      <w:r>
        <w:rPr>
          <w:sz w:val="20"/>
        </w:rPr>
        <w:t>elektrárny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střešní</w:t>
      </w:r>
      <w:r>
        <w:rPr>
          <w:spacing w:val="27"/>
          <w:sz w:val="20"/>
        </w:rPr>
        <w:t> </w:t>
      </w:r>
      <w:r>
        <w:rPr>
          <w:sz w:val="20"/>
        </w:rPr>
        <w:t>instalací</w:t>
      </w:r>
      <w:r>
        <w:rPr>
          <w:spacing w:val="27"/>
          <w:sz w:val="20"/>
        </w:rPr>
        <w:t> </w:t>
      </w:r>
      <w:r>
        <w:rPr>
          <w:sz w:val="20"/>
        </w:rPr>
        <w:t>s</w:t>
      </w:r>
      <w:r>
        <w:rPr>
          <w:spacing w:val="32"/>
          <w:sz w:val="20"/>
        </w:rPr>
        <w:t> </w:t>
      </w:r>
      <w:r>
        <w:rPr>
          <w:sz w:val="20"/>
        </w:rPr>
        <w:t>předpokládaným výkonem 49,95 kWp, instalací akumulace o kapacitě 49,95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49.95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49.95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38.07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92.97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44.27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4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2"/>
          <w:sz w:val="20"/>
        </w:rPr>
        <w:t> </w:t>
      </w:r>
      <w:r>
        <w:rPr>
          <w:sz w:val="20"/>
        </w:rPr>
        <w:t>již není) vlastníkem</w:t>
      </w:r>
      <w:r>
        <w:rPr>
          <w:spacing w:val="-1"/>
          <w:sz w:val="20"/>
        </w:rPr>
        <w:t> </w:t>
      </w:r>
      <w:r>
        <w:rPr>
          <w:sz w:val="20"/>
        </w:rPr>
        <w:t>předmětu podpory. Pro tento účel se</w:t>
      </w:r>
      <w:r>
        <w:rPr>
          <w:spacing w:val="-1"/>
          <w:sz w:val="20"/>
        </w:rPr>
        <w:t> </w:t>
      </w:r>
      <w:r>
        <w:rPr>
          <w:sz w:val="20"/>
        </w:rPr>
        <w:t>předmětem</w:t>
      </w:r>
      <w:r>
        <w:rPr>
          <w:spacing w:val="-1"/>
          <w:sz w:val="20"/>
        </w:rPr>
        <w:t> </w:t>
      </w:r>
      <w:r>
        <w:rPr>
          <w:sz w:val="20"/>
        </w:rPr>
        <w:t>podpory rozumí věci 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3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5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5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 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> </w:t>
      </w:r>
      <w:r>
        <w:rPr>
          <w:sz w:val="20"/>
        </w:rPr>
        <w:t>podpory je</w:t>
      </w:r>
      <w:r>
        <w:rPr>
          <w:spacing w:val="-1"/>
          <w:sz w:val="20"/>
        </w:rPr>
        <w:t> </w:t>
      </w:r>
      <w:r>
        <w:rPr>
          <w:sz w:val="20"/>
        </w:rPr>
        <w:t>povinen částku DPH vrátit</w:t>
      </w:r>
      <w:r>
        <w:rPr>
          <w:spacing w:val="-1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3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2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2" w:after="0"/>
        <w:ind w:left="679" w:right="112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3436"/>
      </w:pPr>
      <w:r>
        <w:rPr>
          <w:spacing w:val="-5"/>
        </w:rPr>
        <w:t>V.</w:t>
      </w:r>
    </w:p>
    <w:p>
      <w:pPr>
        <w:pStyle w:val="Heading2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1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</w:t>
      </w:r>
      <w:r>
        <w:rPr>
          <w:spacing w:val="-3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3436" w:right="3436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4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2"/>
          <w:sz w:val="20"/>
        </w:rPr>
        <w:t> </w:t>
      </w:r>
      <w:r>
        <w:rPr>
          <w:sz w:val="20"/>
        </w:rPr>
        <w:t>tuto</w:t>
      </w:r>
      <w:r>
        <w:rPr>
          <w:spacing w:val="-10"/>
          <w:sz w:val="20"/>
        </w:rPr>
        <w:t> </w:t>
      </w:r>
      <w:r>
        <w:rPr>
          <w:sz w:val="20"/>
        </w:rPr>
        <w:t>Smlouvu</w:t>
      </w:r>
      <w:r>
        <w:rPr>
          <w:spacing w:val="-13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touto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2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9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7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4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 w:right="143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4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54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6048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34" w:right="343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2025-05-28T12:40:22Z</dcterms:created>
  <dcterms:modified xsi:type="dcterms:W3CDTF">2025-05-28T12:40:22Z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</Properties>
</file>