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60CE7F1C" w14:textId="43D051D0" w:rsidR="00FF45D2" w:rsidRPr="009A4E39" w:rsidRDefault="00FF45D2" w:rsidP="004C2EDA">
      <w:pPr>
        <w:rPr>
          <w:rFonts w:ascii="Calibri" w:hAnsi="Calibri"/>
          <w:sz w:val="22"/>
          <w:szCs w:val="22"/>
        </w:rPr>
      </w:pPr>
    </w:p>
    <w:p w14:paraId="73CAC780" w14:textId="77777777" w:rsidR="006767AF" w:rsidRPr="009A4E39" w:rsidRDefault="006767AF" w:rsidP="004C2EDA">
      <w:pPr>
        <w:ind w:firstLine="708"/>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77777777" w:rsidR="006767AF" w:rsidRPr="009A4E39" w:rsidRDefault="006767AF" w:rsidP="00102393">
            <w:pPr>
              <w:rPr>
                <w:rFonts w:ascii="Calibri" w:hAnsi="Calibri"/>
                <w:b/>
                <w:sz w:val="22"/>
                <w:szCs w:val="22"/>
              </w:rPr>
            </w:pPr>
            <w:r w:rsidRPr="009A4E39">
              <w:rPr>
                <w:rFonts w:ascii="Calibri" w:hAnsi="Calibri"/>
                <w:b/>
                <w:sz w:val="22"/>
                <w:szCs w:val="22"/>
              </w:rPr>
              <w:t xml:space="preserve"> 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1B8CA417" w:rsidR="006767AF" w:rsidRPr="009A4E39" w:rsidRDefault="00FB500A" w:rsidP="00102393">
            <w:pPr>
              <w:rPr>
                <w:rFonts w:ascii="Calibri" w:hAnsi="Calibri"/>
                <w:b/>
                <w:sz w:val="22"/>
                <w:szCs w:val="22"/>
              </w:rPr>
            </w:pPr>
            <w:r>
              <w:rPr>
                <w:rFonts w:ascii="Calibri" w:hAnsi="Calibri"/>
                <w:b/>
                <w:sz w:val="22"/>
                <w:szCs w:val="22"/>
              </w:rPr>
              <w:t>Mgr. Michal Přichystal</w:t>
            </w:r>
          </w:p>
          <w:p w14:paraId="17F0E5C3" w14:textId="7B36E305" w:rsidR="006767AF" w:rsidRPr="009A4E39" w:rsidRDefault="00FB500A" w:rsidP="00102393">
            <w:pPr>
              <w:rPr>
                <w:rFonts w:ascii="Calibri" w:hAnsi="Calibri"/>
                <w:sz w:val="22"/>
                <w:szCs w:val="22"/>
              </w:rPr>
            </w:pPr>
            <w:r>
              <w:rPr>
                <w:rFonts w:ascii="Calibri" w:hAnsi="Calibri"/>
                <w:sz w:val="22"/>
                <w:szCs w:val="22"/>
              </w:rPr>
              <w:t>ředitel</w:t>
            </w:r>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47C36DB4" w14:textId="31CA92BC" w:rsidR="006767AF" w:rsidRPr="009A4E39" w:rsidRDefault="00C72A75" w:rsidP="00102393">
            <w:pPr>
              <w:rPr>
                <w:rFonts w:ascii="Calibri" w:hAnsi="Calibri"/>
                <w:sz w:val="22"/>
                <w:szCs w:val="22"/>
              </w:rPr>
            </w:pPr>
            <w:proofErr w:type="spellStart"/>
            <w:r>
              <w:rPr>
                <w:rFonts w:ascii="Calibri" w:hAnsi="Calibri"/>
                <w:sz w:val="22"/>
                <w:szCs w:val="22"/>
              </w:rPr>
              <w:t>xxxx</w:t>
            </w:r>
            <w:proofErr w:type="spellEnd"/>
          </w:p>
          <w:p w14:paraId="2F546BA2" w14:textId="5F181EED" w:rsidR="006767AF" w:rsidRPr="009A4E39" w:rsidRDefault="00C72A75" w:rsidP="00CE7FCE">
            <w:pPr>
              <w:rPr>
                <w:rFonts w:ascii="Calibri" w:hAnsi="Calibri"/>
                <w:b/>
                <w:sz w:val="22"/>
                <w:szCs w:val="22"/>
              </w:rPr>
            </w:pPr>
            <w:proofErr w:type="spellStart"/>
            <w:r>
              <w:rPr>
                <w:rFonts w:ascii="Calibri" w:hAnsi="Calibri"/>
                <w:sz w:val="22"/>
                <w:szCs w:val="22"/>
              </w:rPr>
              <w:t>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4F8E42F7" w14:textId="38E2E2A3" w:rsidR="009F43BA" w:rsidRDefault="00C72A75" w:rsidP="00F20017">
            <w:pPr>
              <w:rPr>
                <w:rFonts w:ascii="Calibri" w:hAnsi="Calibri"/>
                <w:sz w:val="22"/>
                <w:szCs w:val="22"/>
              </w:rPr>
            </w:pPr>
            <w:proofErr w:type="spellStart"/>
            <w:r>
              <w:rPr>
                <w:rFonts w:ascii="Calibri" w:hAnsi="Calibri"/>
                <w:sz w:val="22"/>
                <w:szCs w:val="22"/>
              </w:rPr>
              <w:t>xxxxxx</w:t>
            </w:r>
            <w:proofErr w:type="spellEnd"/>
          </w:p>
          <w:p w14:paraId="75E7645F" w14:textId="4F0F3262" w:rsidR="006767AF" w:rsidRPr="003A6D2C" w:rsidRDefault="00C72A75" w:rsidP="00F20017">
            <w:pPr>
              <w:rPr>
                <w:rFonts w:ascii="Calibri" w:hAnsi="Calibri"/>
                <w:sz w:val="22"/>
                <w:szCs w:val="22"/>
              </w:rPr>
            </w:pPr>
            <w:proofErr w:type="spellStart"/>
            <w:r>
              <w:rPr>
                <w:rFonts w:ascii="Calibri" w:hAnsi="Calibri"/>
                <w:sz w:val="22"/>
                <w:szCs w:val="22"/>
              </w:rPr>
              <w:t>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 xml:space="preserve">č. </w:t>
            </w:r>
            <w:proofErr w:type="spellStart"/>
            <w:r>
              <w:rPr>
                <w:rFonts w:ascii="Calibri" w:hAnsi="Calibri"/>
                <w:sz w:val="22"/>
                <w:szCs w:val="22"/>
              </w:rPr>
              <w:t>ú.</w:t>
            </w:r>
            <w:proofErr w:type="spellEnd"/>
            <w:r>
              <w:rPr>
                <w:rFonts w:ascii="Calibri" w:hAnsi="Calibri"/>
                <w:sz w:val="22"/>
                <w:szCs w:val="22"/>
              </w:rPr>
              <w:t xml:space="preserve">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77777777" w:rsidR="006767AF" w:rsidRPr="009A4E39" w:rsidRDefault="006767AF" w:rsidP="00102393">
            <w:pPr>
              <w:rPr>
                <w:rFonts w:ascii="Calibri" w:hAnsi="Calibri"/>
                <w:sz w:val="22"/>
                <w:szCs w:val="22"/>
              </w:rPr>
            </w:pPr>
            <w:r w:rsidRPr="009A4E39">
              <w:rPr>
                <w:rFonts w:ascii="Calibri" w:hAnsi="Calibri"/>
                <w:sz w:val="22"/>
                <w:szCs w:val="22"/>
              </w:rPr>
              <w:t>48 51 10 05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77777777" w:rsidR="00B264D4" w:rsidRPr="00E73C3D" w:rsidRDefault="00B264D4" w:rsidP="00B264D4">
            <w:pPr>
              <w:rPr>
                <w:rFonts w:ascii="Calibri" w:hAnsi="Calibri"/>
                <w:sz w:val="22"/>
                <w:szCs w:val="22"/>
              </w:rPr>
            </w:pPr>
            <w:r w:rsidRPr="00E73C3D">
              <w:rPr>
                <w:rFonts w:ascii="Calibri" w:hAnsi="Calibri"/>
                <w:sz w:val="22"/>
                <w:szCs w:val="22"/>
              </w:rPr>
              <w:t xml:space="preserve">K majáku 5001 </w:t>
            </w:r>
          </w:p>
          <w:p w14:paraId="4A498066" w14:textId="000838BC" w:rsidR="00B264D4" w:rsidRPr="00E73C3D" w:rsidRDefault="00F129EE" w:rsidP="00B264D4">
            <w:pPr>
              <w:rPr>
                <w:rFonts w:ascii="Calibri" w:hAnsi="Calibri"/>
                <w:sz w:val="22"/>
                <w:szCs w:val="22"/>
              </w:rPr>
            </w:pPr>
            <w:r>
              <w:rPr>
                <w:rFonts w:ascii="Calibri" w:hAnsi="Calibri"/>
                <w:sz w:val="22"/>
                <w:szCs w:val="22"/>
              </w:rPr>
              <w:t>760 01</w:t>
            </w:r>
            <w:r w:rsidR="00B264D4" w:rsidRPr="00E73C3D">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73C3D" w:rsidRDefault="00B264D4" w:rsidP="00B264D4">
            <w:pPr>
              <w:rPr>
                <w:rFonts w:ascii="Calibri" w:hAnsi="Calibri"/>
                <w:sz w:val="22"/>
                <w:szCs w:val="22"/>
              </w:rPr>
            </w:pPr>
            <w:r w:rsidRPr="00E73C3D">
              <w:rPr>
                <w:rFonts w:ascii="Calibri" w:hAnsi="Calibri"/>
                <w:sz w:val="22"/>
                <w:szCs w:val="22"/>
              </w:rPr>
              <w:t xml:space="preserve">Ing. </w:t>
            </w:r>
            <w:smartTag w:uri="urn:schemas-microsoft-com:office:smarttags" w:element="PersonName">
              <w:r w:rsidRPr="00E73C3D">
                <w:rPr>
                  <w:rFonts w:ascii="Calibri" w:hAnsi="Calibri"/>
                  <w:sz w:val="22"/>
                  <w:szCs w:val="22"/>
                </w:rPr>
                <w:t>Bronislav Malý</w:t>
              </w:r>
            </w:smartTag>
            <w:r w:rsidRPr="00E73C3D">
              <w:rPr>
                <w:rFonts w:ascii="Calibri" w:hAnsi="Calibri"/>
                <w:sz w:val="22"/>
                <w:szCs w:val="22"/>
              </w:rPr>
              <w:t>, ředitel</w:t>
            </w:r>
          </w:p>
        </w:tc>
      </w:tr>
      <w:tr w:rsidR="00AF65E3" w:rsidRPr="009A4E39" w14:paraId="59AF71DF" w14:textId="77777777" w:rsidTr="00B264D4">
        <w:tc>
          <w:tcPr>
            <w:tcW w:w="4120" w:type="dxa"/>
          </w:tcPr>
          <w:p w14:paraId="0330C0CD" w14:textId="77777777" w:rsidR="00AF65E3" w:rsidRDefault="00AF65E3" w:rsidP="00AF65E3">
            <w:pPr>
              <w:rPr>
                <w:rFonts w:ascii="Calibri" w:hAnsi="Calibri"/>
                <w:sz w:val="22"/>
                <w:szCs w:val="22"/>
              </w:rPr>
            </w:pPr>
            <w:r w:rsidRPr="00E73C3D">
              <w:rPr>
                <w:rFonts w:ascii="Calibri" w:hAnsi="Calibri"/>
                <w:sz w:val="22"/>
                <w:szCs w:val="22"/>
              </w:rPr>
              <w:t>Osoba oprávněná jednat ve věcech stavby</w:t>
            </w:r>
          </w:p>
          <w:p w14:paraId="448EB79F" w14:textId="77777777" w:rsidR="00AF65E3" w:rsidRPr="00E73C3D" w:rsidRDefault="00AF65E3" w:rsidP="00AF65E3">
            <w:pPr>
              <w:rPr>
                <w:rFonts w:ascii="Calibri" w:hAnsi="Calibri"/>
                <w:sz w:val="22"/>
                <w:szCs w:val="22"/>
              </w:rPr>
            </w:pPr>
          </w:p>
        </w:tc>
        <w:tc>
          <w:tcPr>
            <w:tcW w:w="284" w:type="dxa"/>
          </w:tcPr>
          <w:p w14:paraId="32272228" w14:textId="2B21F7FB" w:rsidR="00AF65E3" w:rsidRPr="00E73C3D" w:rsidRDefault="00AF65E3" w:rsidP="00AF65E3">
            <w:pPr>
              <w:rPr>
                <w:rFonts w:ascii="Calibri" w:hAnsi="Calibri"/>
                <w:sz w:val="22"/>
                <w:szCs w:val="22"/>
              </w:rPr>
            </w:pPr>
            <w:r w:rsidRPr="00E73C3D">
              <w:rPr>
                <w:rFonts w:ascii="Calibri" w:hAnsi="Calibri"/>
                <w:b/>
                <w:sz w:val="22"/>
                <w:szCs w:val="22"/>
              </w:rPr>
              <w:t>:</w:t>
            </w:r>
          </w:p>
        </w:tc>
        <w:tc>
          <w:tcPr>
            <w:tcW w:w="4668" w:type="dxa"/>
          </w:tcPr>
          <w:p w14:paraId="2EFF65AF" w14:textId="23115570" w:rsidR="00AF65E3" w:rsidRPr="0026723B" w:rsidRDefault="00C72A75" w:rsidP="00AF65E3">
            <w:pPr>
              <w:rPr>
                <w:rFonts w:ascii="Calibri" w:hAnsi="Calibri"/>
                <w:sz w:val="22"/>
                <w:szCs w:val="22"/>
              </w:rPr>
            </w:pPr>
            <w:proofErr w:type="spellStart"/>
            <w:r>
              <w:rPr>
                <w:rFonts w:ascii="Calibri" w:hAnsi="Calibri"/>
                <w:sz w:val="22"/>
                <w:szCs w:val="22"/>
              </w:rPr>
              <w:t>xxxxxxxxx</w:t>
            </w:r>
            <w:proofErr w:type="spellEnd"/>
          </w:p>
          <w:p w14:paraId="6DBF29B2" w14:textId="632AB463" w:rsidR="00AF65E3" w:rsidRPr="00E73C3D" w:rsidRDefault="00AF65E3" w:rsidP="00AF65E3">
            <w:pPr>
              <w:rPr>
                <w:rFonts w:ascii="Calibri" w:hAnsi="Calibri"/>
                <w:sz w:val="22"/>
                <w:szCs w:val="22"/>
              </w:rPr>
            </w:pPr>
            <w:r w:rsidRPr="0026723B">
              <w:rPr>
                <w:rFonts w:ascii="Calibri" w:hAnsi="Calibri"/>
                <w:sz w:val="22"/>
                <w:szCs w:val="22"/>
              </w:rPr>
              <w:t>(</w:t>
            </w:r>
            <w:proofErr w:type="spellStart"/>
            <w:r w:rsidR="00C72A75">
              <w:rPr>
                <w:rFonts w:ascii="Calibri" w:hAnsi="Calibri"/>
                <w:sz w:val="22"/>
                <w:szCs w:val="22"/>
              </w:rPr>
              <w:t>xxx</w:t>
            </w:r>
            <w:proofErr w:type="spellEnd"/>
          </w:p>
        </w:tc>
      </w:tr>
      <w:tr w:rsidR="00AF65E3" w:rsidRPr="009A4E39" w14:paraId="793624F8" w14:textId="77777777" w:rsidTr="00B264D4">
        <w:tc>
          <w:tcPr>
            <w:tcW w:w="4120" w:type="dxa"/>
          </w:tcPr>
          <w:p w14:paraId="3AB05A8B" w14:textId="6AC41E7A" w:rsidR="00AF65E3" w:rsidRPr="00E73C3D" w:rsidRDefault="00AF65E3" w:rsidP="00AF65E3">
            <w:pPr>
              <w:rPr>
                <w:rFonts w:ascii="Calibri" w:hAnsi="Calibri"/>
                <w:sz w:val="22"/>
                <w:szCs w:val="22"/>
              </w:rPr>
            </w:pPr>
            <w:r>
              <w:rPr>
                <w:rFonts w:ascii="Calibri" w:hAnsi="Calibri"/>
                <w:sz w:val="22"/>
                <w:szCs w:val="22"/>
              </w:rPr>
              <w:t>Technický dozor stavby</w:t>
            </w:r>
          </w:p>
        </w:tc>
        <w:tc>
          <w:tcPr>
            <w:tcW w:w="284" w:type="dxa"/>
          </w:tcPr>
          <w:p w14:paraId="1A8E5ADE" w14:textId="171F4128" w:rsidR="00AF65E3" w:rsidRPr="00E73C3D" w:rsidRDefault="00AF65E3" w:rsidP="00AF65E3">
            <w:pPr>
              <w:rPr>
                <w:rFonts w:ascii="Calibri" w:hAnsi="Calibri"/>
                <w:b/>
                <w:sz w:val="22"/>
                <w:szCs w:val="22"/>
              </w:rPr>
            </w:pPr>
            <w:r>
              <w:rPr>
                <w:rFonts w:ascii="Calibri" w:hAnsi="Calibri"/>
                <w:b/>
                <w:sz w:val="22"/>
                <w:szCs w:val="22"/>
              </w:rPr>
              <w:t>:</w:t>
            </w:r>
          </w:p>
        </w:tc>
        <w:tc>
          <w:tcPr>
            <w:tcW w:w="4668" w:type="dxa"/>
          </w:tcPr>
          <w:p w14:paraId="74B05005" w14:textId="18AB1ED1" w:rsidR="00AF65E3" w:rsidRPr="0026723B" w:rsidRDefault="00C72A75" w:rsidP="00AF65E3">
            <w:pPr>
              <w:rPr>
                <w:rFonts w:ascii="Calibri" w:hAnsi="Calibri"/>
                <w:sz w:val="22"/>
                <w:szCs w:val="22"/>
              </w:rPr>
            </w:pPr>
            <w:proofErr w:type="spellStart"/>
            <w:r>
              <w:rPr>
                <w:rFonts w:ascii="Calibri" w:hAnsi="Calibri"/>
                <w:sz w:val="22"/>
                <w:szCs w:val="22"/>
              </w:rPr>
              <w:t>xxxxxx</w:t>
            </w:r>
            <w:proofErr w:type="spellEnd"/>
          </w:p>
          <w:p w14:paraId="14576E7B" w14:textId="55F99FD1" w:rsidR="00AF65E3" w:rsidRPr="00283BAE" w:rsidRDefault="00C72A75" w:rsidP="00AF65E3">
            <w:pPr>
              <w:rPr>
                <w:rFonts w:ascii="Calibri" w:hAnsi="Calibri"/>
                <w:sz w:val="22"/>
                <w:szCs w:val="22"/>
              </w:rPr>
            </w:pPr>
            <w:proofErr w:type="spellStart"/>
            <w:r>
              <w:rPr>
                <w:rFonts w:ascii="Calibri" w:hAnsi="Calibri"/>
                <w:sz w:val="22"/>
                <w:szCs w:val="22"/>
              </w:rPr>
              <w:t>xxxxx</w:t>
            </w:r>
            <w:proofErr w:type="spellEnd"/>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77777777" w:rsidR="00B264D4" w:rsidRPr="00E73C3D" w:rsidRDefault="00B264D4" w:rsidP="00B264D4">
            <w:pPr>
              <w:rPr>
                <w:rFonts w:ascii="Calibri" w:hAnsi="Calibri"/>
                <w:sz w:val="22"/>
                <w:szCs w:val="22"/>
              </w:rPr>
            </w:pPr>
            <w:r w:rsidRPr="00E73C3D">
              <w:rPr>
                <w:rFonts w:ascii="Calibri" w:hAnsi="Calibri"/>
                <w:sz w:val="22"/>
                <w:szCs w:val="22"/>
              </w:rPr>
              <w:t>70934860</w:t>
            </w:r>
          </w:p>
        </w:tc>
      </w:tr>
    </w:tbl>
    <w:p w14:paraId="02A7702C" w14:textId="77777777" w:rsidR="006767AF" w:rsidRPr="009A4E39" w:rsidRDefault="006767AF" w:rsidP="000A5B9D">
      <w:pPr>
        <w:rPr>
          <w:rFonts w:ascii="Calibri" w:hAnsi="Calibri"/>
          <w:b/>
          <w:sz w:val="22"/>
          <w:szCs w:val="22"/>
        </w:rPr>
      </w:pPr>
      <w:r w:rsidRPr="009A4E39">
        <w:rPr>
          <w:rFonts w:ascii="Calibri" w:hAnsi="Calibri"/>
          <w:b/>
          <w:sz w:val="22"/>
          <w:szCs w:val="22"/>
        </w:rPr>
        <w:t>Dále jen „objednatel“</w:t>
      </w:r>
    </w:p>
    <w:p w14:paraId="6C86F188" w14:textId="43A10984" w:rsidR="006767AF" w:rsidRDefault="006767AF" w:rsidP="004C2EDA">
      <w:pPr>
        <w:pStyle w:val="Nadpis2"/>
        <w:rPr>
          <w:rFonts w:ascii="Calibri" w:hAnsi="Calibri" w:cs="Arial"/>
        </w:rPr>
      </w:pPr>
    </w:p>
    <w:p w14:paraId="4242697C" w14:textId="567A2A4D" w:rsidR="00FF45D2" w:rsidRPr="00FF45D2" w:rsidRDefault="00FF45D2"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t>Provedení záchranného archeologického výzkumu (dále jen ZAV) při stavbě:</w:t>
      </w:r>
    </w:p>
    <w:tbl>
      <w:tblPr>
        <w:tblW w:w="0" w:type="auto"/>
        <w:tblInd w:w="392" w:type="dxa"/>
        <w:tblLook w:val="00A0" w:firstRow="1" w:lastRow="0" w:firstColumn="1" w:lastColumn="0" w:noHBand="0" w:noVBand="0"/>
      </w:tblPr>
      <w:tblGrid>
        <w:gridCol w:w="2641"/>
        <w:gridCol w:w="284"/>
        <w:gridCol w:w="5755"/>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6358BA3" w14:textId="55EDF256" w:rsidR="006767AF" w:rsidRPr="009A4E39" w:rsidRDefault="00B239B0" w:rsidP="00F20017">
            <w:pPr>
              <w:rPr>
                <w:rFonts w:ascii="Calibri" w:hAnsi="Calibri"/>
                <w:b/>
                <w:sz w:val="22"/>
                <w:szCs w:val="22"/>
              </w:rPr>
            </w:pPr>
            <w:r w:rsidRPr="00B239B0">
              <w:rPr>
                <w:rFonts w:ascii="Calibri" w:hAnsi="Calibri"/>
                <w:b/>
                <w:sz w:val="22"/>
                <w:szCs w:val="22"/>
              </w:rPr>
              <w:t>Silnice III/49026: Březůvky, úprava křižovatky</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lastRenderedPageBreak/>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1A5AF5E3" w:rsidR="006767AF" w:rsidRPr="009A4E39" w:rsidRDefault="00B239B0" w:rsidP="00102393">
            <w:pPr>
              <w:rPr>
                <w:rFonts w:ascii="Calibri" w:hAnsi="Calibri"/>
                <w:sz w:val="22"/>
                <w:szCs w:val="22"/>
              </w:rPr>
            </w:pPr>
            <w:r>
              <w:rPr>
                <w:rFonts w:ascii="Calibri" w:hAnsi="Calibri"/>
                <w:sz w:val="22"/>
                <w:szCs w:val="22"/>
              </w:rPr>
              <w:t>Březůvky</w:t>
            </w:r>
            <w:r w:rsidR="00491D61">
              <w:rPr>
                <w:rFonts w:ascii="Calibri" w:hAnsi="Calibri"/>
                <w:sz w:val="22"/>
                <w:szCs w:val="22"/>
              </w:rPr>
              <w:t xml:space="preserve">, </w:t>
            </w:r>
            <w:proofErr w:type="spellStart"/>
            <w:r w:rsidR="00491D61">
              <w:rPr>
                <w:rFonts w:ascii="Calibri" w:hAnsi="Calibri"/>
                <w:sz w:val="22"/>
                <w:szCs w:val="22"/>
              </w:rPr>
              <w:t>parc</w:t>
            </w:r>
            <w:proofErr w:type="spellEnd"/>
            <w:r w:rsidR="00491D61">
              <w:rPr>
                <w:rFonts w:ascii="Calibri" w:hAnsi="Calibri"/>
                <w:sz w:val="22"/>
                <w:szCs w:val="22"/>
              </w:rPr>
              <w:t xml:space="preserve">. č. </w:t>
            </w:r>
            <w:r w:rsidR="00491D61" w:rsidRPr="00491D61">
              <w:rPr>
                <w:rFonts w:ascii="Calibri" w:hAnsi="Calibri"/>
                <w:sz w:val="22"/>
                <w:szCs w:val="22"/>
              </w:rPr>
              <w:t>1765/1, p. č. 682/1, p. č. 664/1, p. č. 665/2 a p. č. 665/1</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6A920E04" w:rsidR="005C551F" w:rsidRDefault="00B239B0" w:rsidP="00596924">
            <w:pPr>
              <w:jc w:val="both"/>
              <w:rPr>
                <w:rFonts w:ascii="Calibri" w:hAnsi="Calibri"/>
                <w:sz w:val="22"/>
                <w:szCs w:val="22"/>
              </w:rPr>
            </w:pPr>
            <w:r>
              <w:rPr>
                <w:rFonts w:ascii="Calibri" w:hAnsi="Calibri"/>
                <w:sz w:val="22"/>
                <w:szCs w:val="22"/>
              </w:rPr>
              <w:t>70 m</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1DD2C4D2" w:rsidR="006767AF" w:rsidRPr="005A1B2A" w:rsidRDefault="006767AF" w:rsidP="005F110F">
      <w:pPr>
        <w:pStyle w:val="Odstavecseseznamem"/>
        <w:numPr>
          <w:ilvl w:val="1"/>
          <w:numId w:val="8"/>
        </w:numPr>
        <w:jc w:val="both"/>
        <w:rPr>
          <w:rFonts w:ascii="Calibri" w:hAnsi="Calibri"/>
          <w:sz w:val="22"/>
          <w:szCs w:val="22"/>
        </w:rPr>
      </w:pPr>
      <w:r w:rsidRPr="005F110F">
        <w:rPr>
          <w:rFonts w:ascii="Calibri" w:hAnsi="Calibri"/>
          <w:sz w:val="22"/>
          <w:szCs w:val="22"/>
        </w:rPr>
        <w:t xml:space="preserve">ZAV bude proveden v návaznosti na zemní práce v předpokládaném termínu jejich zahájení: od </w:t>
      </w:r>
      <w:r w:rsidR="00B239B0">
        <w:rPr>
          <w:rFonts w:ascii="Calibri" w:hAnsi="Calibri"/>
          <w:sz w:val="22"/>
          <w:szCs w:val="22"/>
        </w:rPr>
        <w:t>6</w:t>
      </w:r>
      <w:r w:rsidR="007508A6" w:rsidRPr="000E497D">
        <w:rPr>
          <w:rFonts w:ascii="Calibri" w:hAnsi="Calibri"/>
          <w:sz w:val="22"/>
          <w:szCs w:val="22"/>
        </w:rPr>
        <w:t>/202</w:t>
      </w:r>
      <w:r w:rsidR="00B239B0">
        <w:rPr>
          <w:rFonts w:ascii="Calibri" w:hAnsi="Calibri"/>
          <w:sz w:val="22"/>
          <w:szCs w:val="22"/>
        </w:rPr>
        <w:t>5</w:t>
      </w:r>
      <w:r w:rsidR="007508A6" w:rsidRPr="000E497D">
        <w:rPr>
          <w:rFonts w:ascii="Calibri" w:hAnsi="Calibri"/>
          <w:sz w:val="22"/>
          <w:szCs w:val="22"/>
        </w:rPr>
        <w:t>.</w:t>
      </w:r>
      <w:r w:rsidRPr="005A1B2A">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 xml:space="preserve">II </w:t>
      </w:r>
      <w:proofErr w:type="gramStart"/>
      <w:r w:rsidRPr="005A1B2A">
        <w:rPr>
          <w:rFonts w:ascii="Calibri" w:hAnsi="Calibri"/>
          <w:sz w:val="22"/>
          <w:szCs w:val="22"/>
        </w:rPr>
        <w:t>etapa</w:t>
      </w:r>
      <w:r>
        <w:rPr>
          <w:rFonts w:ascii="Calibri" w:hAnsi="Calibri"/>
          <w:sz w:val="22"/>
          <w:szCs w:val="22"/>
        </w:rPr>
        <w:t xml:space="preserve"> - t</w:t>
      </w:r>
      <w:r w:rsidRPr="005F110F">
        <w:rPr>
          <w:rFonts w:ascii="Calibri" w:hAnsi="Calibri"/>
          <w:sz w:val="22"/>
          <w:szCs w:val="22"/>
        </w:rPr>
        <w:t>ermín</w:t>
      </w:r>
      <w:proofErr w:type="gramEnd"/>
      <w:r w:rsidRPr="005F110F">
        <w:rPr>
          <w:rFonts w:ascii="Calibri" w:hAnsi="Calibri"/>
          <w:sz w:val="22"/>
          <w:szCs w:val="22"/>
        </w:rPr>
        <w:t xml:space="preserve">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700A05F3" w14:textId="70263E7B" w:rsidR="002E6A3F" w:rsidRDefault="006767AF" w:rsidP="002E6A3F">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0637EDC6" w14:textId="77777777" w:rsidR="005C551F" w:rsidRPr="005C551F" w:rsidRDefault="005C551F" w:rsidP="005C551F">
      <w:pPr>
        <w:ind w:left="284"/>
        <w:jc w:val="both"/>
        <w:rPr>
          <w:rFonts w:ascii="Calibri" w:hAnsi="Calibri"/>
          <w:sz w:val="22"/>
          <w:szCs w:val="22"/>
        </w:rPr>
      </w:pPr>
    </w:p>
    <w:p w14:paraId="4E74F177" w14:textId="03131C43" w:rsidR="006767AF" w:rsidRPr="002E6A3F" w:rsidRDefault="009F43BA" w:rsidP="002E6A3F">
      <w:pPr>
        <w:pStyle w:val="Odstavecseseznamem"/>
        <w:ind w:left="3836"/>
        <w:jc w:val="both"/>
        <w:rPr>
          <w:rFonts w:ascii="Calibri" w:hAnsi="Calibri"/>
          <w:sz w:val="22"/>
          <w:szCs w:val="22"/>
        </w:rPr>
      </w:pPr>
      <w:r>
        <w:rPr>
          <w:rFonts w:ascii="Calibri" w:hAnsi="Calibri"/>
          <w:b/>
          <w:sz w:val="22"/>
          <w:szCs w:val="22"/>
        </w:rPr>
        <w:t>5 000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1476CD16" w14:textId="27B5A092" w:rsidR="006767AF" w:rsidRPr="005F110F" w:rsidRDefault="006767AF" w:rsidP="004E2D4A">
      <w:pPr>
        <w:jc w:val="both"/>
        <w:rPr>
          <w:rFonts w:ascii="Calibri" w:hAnsi="Calibri"/>
          <w:b/>
          <w:color w:val="00B050"/>
          <w:sz w:val="22"/>
          <w:szCs w:val="22"/>
        </w:rPr>
      </w:pP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09D60A8C" w:rsidR="006767AF" w:rsidRPr="00C75677" w:rsidRDefault="004E2D4A" w:rsidP="00CE7FCE">
            <w:pPr>
              <w:tabs>
                <w:tab w:val="right" w:pos="2835"/>
                <w:tab w:val="left" w:pos="3544"/>
              </w:tabs>
              <w:ind w:left="58"/>
              <w:jc w:val="both"/>
              <w:rPr>
                <w:rFonts w:ascii="Calibri" w:hAnsi="Calibri"/>
                <w:sz w:val="22"/>
                <w:szCs w:val="22"/>
              </w:rPr>
            </w:pPr>
            <w:r>
              <w:rPr>
                <w:rFonts w:ascii="Calibri" w:hAnsi="Calibri"/>
                <w:sz w:val="22"/>
                <w:szCs w:val="22"/>
              </w:rPr>
              <w:t>57</w:t>
            </w:r>
            <w:r w:rsidR="006767AF" w:rsidRPr="00C75677">
              <w:rPr>
                <w:rFonts w:ascii="Calibri" w:hAnsi="Calibri"/>
                <w:sz w:val="22"/>
                <w:szCs w:val="22"/>
              </w:rPr>
              <w:t xml:space="preserve">0,- Kč/1 hod.                                 </w:t>
            </w:r>
          </w:p>
        </w:tc>
        <w:tc>
          <w:tcPr>
            <w:tcW w:w="2092" w:type="dxa"/>
          </w:tcPr>
          <w:p w14:paraId="21B0603F" w14:textId="39D567B5" w:rsidR="006767AF" w:rsidRPr="003E2DEB" w:rsidRDefault="00B239B0" w:rsidP="00852B8B">
            <w:pPr>
              <w:tabs>
                <w:tab w:val="right" w:pos="2835"/>
                <w:tab w:val="left" w:pos="3544"/>
              </w:tabs>
              <w:ind w:left="175"/>
              <w:jc w:val="both"/>
              <w:rPr>
                <w:rFonts w:ascii="Calibri" w:hAnsi="Calibri"/>
                <w:sz w:val="22"/>
                <w:szCs w:val="22"/>
              </w:rPr>
            </w:pPr>
            <w:r>
              <w:rPr>
                <w:rFonts w:ascii="Calibri" w:hAnsi="Calibri"/>
                <w:sz w:val="22"/>
                <w:szCs w:val="22"/>
              </w:rPr>
              <w:t>8</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63F8FF06" w:rsidR="006767AF"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47</w:t>
            </w:r>
            <w:r w:rsidR="006767AF" w:rsidRPr="00C75677">
              <w:rPr>
                <w:rFonts w:ascii="Calibri" w:hAnsi="Calibri"/>
                <w:sz w:val="22"/>
                <w:szCs w:val="22"/>
              </w:rPr>
              <w:t>0,- Kč/1 hod.</w:t>
            </w:r>
          </w:p>
        </w:tc>
        <w:tc>
          <w:tcPr>
            <w:tcW w:w="2092" w:type="dxa"/>
          </w:tcPr>
          <w:p w14:paraId="637E00D5" w14:textId="4AF8662B" w:rsidR="006767AF" w:rsidRPr="003E2DEB" w:rsidRDefault="00B239B0" w:rsidP="00A24EBA">
            <w:pPr>
              <w:tabs>
                <w:tab w:val="right" w:pos="2835"/>
                <w:tab w:val="left" w:pos="3544"/>
              </w:tabs>
              <w:ind w:left="175"/>
              <w:jc w:val="both"/>
              <w:rPr>
                <w:rFonts w:ascii="Calibri" w:hAnsi="Calibri"/>
                <w:sz w:val="22"/>
                <w:szCs w:val="22"/>
              </w:rPr>
            </w:pPr>
            <w:r>
              <w:rPr>
                <w:rFonts w:ascii="Calibri" w:hAnsi="Calibri"/>
                <w:sz w:val="22"/>
                <w:szCs w:val="22"/>
              </w:rPr>
              <w:t>8</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proofErr w:type="gramStart"/>
            <w:r>
              <w:rPr>
                <w:rFonts w:ascii="Calibri" w:hAnsi="Calibri"/>
                <w:sz w:val="22"/>
                <w:szCs w:val="22"/>
              </w:rPr>
              <w:t>dodav.fy</w:t>
            </w:r>
            <w:proofErr w:type="spellEnd"/>
            <w:proofErr w:type="gram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687AF251" w:rsidR="006767AF" w:rsidRDefault="004E2D4A" w:rsidP="00852B8B">
            <w:pPr>
              <w:tabs>
                <w:tab w:val="right" w:pos="2835"/>
                <w:tab w:val="left" w:pos="3544"/>
              </w:tabs>
              <w:ind w:left="58"/>
              <w:jc w:val="both"/>
              <w:rPr>
                <w:rFonts w:ascii="Calibri" w:hAnsi="Calibri"/>
                <w:sz w:val="22"/>
                <w:szCs w:val="22"/>
              </w:rPr>
            </w:pPr>
            <w:r>
              <w:rPr>
                <w:rFonts w:ascii="Calibri" w:hAnsi="Calibri"/>
                <w:sz w:val="22"/>
                <w:szCs w:val="22"/>
              </w:rPr>
              <w:t>37</w:t>
            </w:r>
            <w:r w:rsidR="006767AF" w:rsidRPr="00C75677">
              <w:rPr>
                <w:rFonts w:ascii="Calibri" w:hAnsi="Calibri"/>
                <w:sz w:val="22"/>
                <w:szCs w:val="22"/>
              </w:rPr>
              <w:t>0,- Kč/1 hod.</w:t>
            </w:r>
          </w:p>
          <w:p w14:paraId="69C5A496" w14:textId="706203CC" w:rsidR="003E2DEB"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32</w:t>
            </w:r>
            <w:r w:rsidR="003E2DEB">
              <w:rPr>
                <w:rFonts w:ascii="Calibri" w:hAnsi="Calibri"/>
                <w:sz w:val="22"/>
                <w:szCs w:val="22"/>
              </w:rPr>
              <w:t>0,- Kč/1 hod.</w:t>
            </w:r>
          </w:p>
        </w:tc>
        <w:tc>
          <w:tcPr>
            <w:tcW w:w="2092" w:type="dxa"/>
          </w:tcPr>
          <w:p w14:paraId="7A3C16C4" w14:textId="77777777" w:rsidR="006767AF" w:rsidRDefault="006767AF" w:rsidP="00767E55">
            <w:pPr>
              <w:tabs>
                <w:tab w:val="right" w:pos="2835"/>
                <w:tab w:val="left" w:pos="3544"/>
              </w:tabs>
              <w:ind w:left="175"/>
              <w:jc w:val="both"/>
              <w:rPr>
                <w:rFonts w:ascii="Calibri" w:hAnsi="Calibri"/>
                <w:sz w:val="22"/>
                <w:szCs w:val="22"/>
              </w:rPr>
            </w:pPr>
          </w:p>
          <w:p w14:paraId="5E47FAC3" w14:textId="4F760518" w:rsidR="003E2DEB" w:rsidRPr="003E2DEB" w:rsidRDefault="003E2DEB" w:rsidP="00767E55">
            <w:pPr>
              <w:tabs>
                <w:tab w:val="right" w:pos="2835"/>
                <w:tab w:val="left" w:pos="3544"/>
              </w:tabs>
              <w:ind w:left="175"/>
              <w:jc w:val="both"/>
              <w:rPr>
                <w:rFonts w:ascii="Calibri" w:hAnsi="Calibri"/>
                <w:sz w:val="22"/>
                <w:szCs w:val="22"/>
              </w:rPr>
            </w:pPr>
          </w:p>
        </w:tc>
      </w:tr>
    </w:tbl>
    <w:p w14:paraId="6AE579B7" w14:textId="77777777" w:rsidR="00CE7FCE" w:rsidRDefault="00CE7FCE" w:rsidP="00144012">
      <w:pPr>
        <w:ind w:left="284"/>
        <w:jc w:val="both"/>
        <w:rPr>
          <w:rFonts w:ascii="Calibri" w:hAnsi="Calibri"/>
          <w:sz w:val="22"/>
          <w:szCs w:val="22"/>
        </w:rPr>
      </w:pPr>
    </w:p>
    <w:p w14:paraId="007B3F25" w14:textId="16E432C3" w:rsidR="006767AF" w:rsidRDefault="006767AF" w:rsidP="00144012">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B239B0" w:rsidRPr="00B239B0">
        <w:rPr>
          <w:rFonts w:ascii="Calibri" w:hAnsi="Calibri"/>
          <w:b/>
          <w:sz w:val="22"/>
          <w:szCs w:val="22"/>
        </w:rPr>
        <w:t>8 320</w:t>
      </w:r>
      <w:r w:rsidR="00C75677" w:rsidRPr="00B239B0">
        <w:rPr>
          <w:rFonts w:ascii="Calibri" w:hAnsi="Calibri"/>
          <w:b/>
          <w:sz w:val="22"/>
          <w:szCs w:val="22"/>
        </w:rPr>
        <w:t>,-</w:t>
      </w:r>
      <w:r w:rsidRPr="003E2DEB">
        <w:rPr>
          <w:rFonts w:ascii="Calibri" w:hAnsi="Calibri"/>
          <w:b/>
          <w:sz w:val="22"/>
          <w:szCs w:val="22"/>
        </w:rPr>
        <w:t xml:space="preserve"> Kč bez DPH</w:t>
      </w:r>
    </w:p>
    <w:p w14:paraId="2EBE7FE0" w14:textId="5A054F62" w:rsidR="000E497D" w:rsidRDefault="000E497D" w:rsidP="004E2D4A">
      <w:pPr>
        <w:jc w:val="both"/>
        <w:rPr>
          <w:rFonts w:ascii="Calibri" w:hAnsi="Calibri"/>
          <w:sz w:val="22"/>
          <w:szCs w:val="22"/>
        </w:rPr>
      </w:pPr>
    </w:p>
    <w:p w14:paraId="13322405" w14:textId="6155AC43" w:rsidR="006767AF" w:rsidRDefault="006767AF" w:rsidP="00A701FA">
      <w:pPr>
        <w:ind w:left="426"/>
        <w:jc w:val="both"/>
        <w:rPr>
          <w:rFonts w:ascii="Calibri" w:hAnsi="Calibri"/>
          <w:sz w:val="22"/>
          <w:szCs w:val="22"/>
        </w:rPr>
      </w:pPr>
      <w:r w:rsidRPr="004E203D">
        <w:rPr>
          <w:rFonts w:ascii="Calibri" w:hAnsi="Calibri"/>
          <w:sz w:val="22"/>
          <w:szCs w:val="22"/>
        </w:rPr>
        <w:t xml:space="preserve">O počtu skutečně odpracovaných hodin a skutečném počtu pracovníků bude pořízen písemný protokol, který </w:t>
      </w:r>
      <w:proofErr w:type="gramStart"/>
      <w:r w:rsidRPr="004E203D">
        <w:rPr>
          <w:rFonts w:ascii="Calibri" w:hAnsi="Calibri"/>
          <w:sz w:val="22"/>
          <w:szCs w:val="22"/>
        </w:rPr>
        <w:t>podepíší</w:t>
      </w:r>
      <w:proofErr w:type="gramEnd"/>
      <w:r w:rsidRPr="004E203D">
        <w:rPr>
          <w:rFonts w:ascii="Calibri" w:hAnsi="Calibri"/>
          <w:sz w:val="22"/>
          <w:szCs w:val="22"/>
        </w:rPr>
        <w:t xml:space="preserve"> zhotovitel a objednatel.</w:t>
      </w:r>
    </w:p>
    <w:p w14:paraId="51D7E822" w14:textId="26B63B99" w:rsidR="006767AF" w:rsidRPr="000E497D" w:rsidRDefault="006767AF" w:rsidP="000E497D">
      <w:pPr>
        <w:jc w:val="both"/>
        <w:rPr>
          <w:rFonts w:ascii="Calibri" w:hAnsi="Calibri"/>
          <w:sz w:val="22"/>
          <w:szCs w:val="22"/>
        </w:rPr>
      </w:pPr>
    </w:p>
    <w:p w14:paraId="33F5BD06" w14:textId="041AD9A1"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 xml:space="preserve">uvedených hodinových sazbách, max. však v </w:t>
      </w:r>
      <w:proofErr w:type="gramStart"/>
      <w:r w:rsidRPr="000E497D">
        <w:rPr>
          <w:rFonts w:ascii="Calibri" w:hAnsi="Calibri"/>
          <w:sz w:val="22"/>
          <w:szCs w:val="22"/>
        </w:rPr>
        <w:t>50%</w:t>
      </w:r>
      <w:proofErr w:type="gramEnd"/>
      <w:r w:rsidRPr="000E497D">
        <w:rPr>
          <w:rFonts w:ascii="Calibri" w:hAnsi="Calibri"/>
          <w:sz w:val="22"/>
          <w:szCs w:val="22"/>
        </w:rPr>
        <w:t xml:space="preserve">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B239B0" w:rsidRPr="00B239B0">
        <w:rPr>
          <w:rFonts w:ascii="Calibri" w:hAnsi="Calibri"/>
          <w:b/>
          <w:sz w:val="22"/>
          <w:szCs w:val="22"/>
        </w:rPr>
        <w:t>6 660</w:t>
      </w:r>
      <w:r w:rsidRPr="00B239B0">
        <w:rPr>
          <w:rFonts w:ascii="Calibri" w:hAnsi="Calibri"/>
          <w:b/>
          <w:sz w:val="22"/>
          <w:szCs w:val="22"/>
        </w:rPr>
        <w:t>,- Kč</w:t>
      </w:r>
      <w:r w:rsidRPr="004E2D4A">
        <w:rPr>
          <w:rFonts w:ascii="Calibri" w:hAnsi="Calibri"/>
          <w:b/>
          <w:sz w:val="22"/>
          <w:szCs w:val="22"/>
        </w:rPr>
        <w:t xml:space="preserve"> bez DPH</w:t>
      </w:r>
      <w:r w:rsidRPr="000E497D">
        <w:rPr>
          <w:rFonts w:ascii="Calibri" w:hAnsi="Calibri"/>
          <w:sz w:val="22"/>
          <w:szCs w:val="22"/>
        </w:rPr>
        <w:t>.</w:t>
      </w:r>
      <w:r>
        <w:rPr>
          <w:rFonts w:ascii="Calibri" w:hAnsi="Calibri"/>
          <w:b/>
          <w:sz w:val="22"/>
          <w:szCs w:val="22"/>
        </w:rPr>
        <w:t xml:space="preserve"> </w:t>
      </w:r>
    </w:p>
    <w:p w14:paraId="5F61FEE3" w14:textId="77777777" w:rsidR="000E497D" w:rsidRPr="000E497D" w:rsidRDefault="000E497D" w:rsidP="000E497D">
      <w:pPr>
        <w:ind w:left="66"/>
        <w:jc w:val="both"/>
        <w:rPr>
          <w:rFonts w:ascii="Calibri" w:hAnsi="Calibri"/>
          <w:sz w:val="22"/>
          <w:szCs w:val="22"/>
        </w:rPr>
      </w:pPr>
    </w:p>
    <w:p w14:paraId="2428E201" w14:textId="129D4ECE" w:rsidR="000E497D" w:rsidRDefault="000E497D" w:rsidP="000E497D">
      <w:pPr>
        <w:jc w:val="both"/>
        <w:rPr>
          <w:rFonts w:ascii="Calibri" w:hAnsi="Calibri"/>
          <w:sz w:val="22"/>
          <w:szCs w:val="22"/>
        </w:rPr>
      </w:pPr>
      <w:r>
        <w:rPr>
          <w:rFonts w:ascii="Calibri" w:hAnsi="Calibri"/>
          <w:sz w:val="22"/>
          <w:szCs w:val="22"/>
        </w:rPr>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B239B0" w:rsidRPr="00B239B0">
        <w:rPr>
          <w:rFonts w:ascii="Calibri" w:hAnsi="Calibri"/>
          <w:b/>
          <w:sz w:val="22"/>
          <w:szCs w:val="22"/>
        </w:rPr>
        <w:t>19 980</w:t>
      </w:r>
      <w:r w:rsidRPr="00B239B0">
        <w:rPr>
          <w:rFonts w:ascii="Calibri" w:hAnsi="Calibri"/>
          <w:b/>
          <w:sz w:val="22"/>
          <w:szCs w:val="22"/>
        </w:rPr>
        <w:t>,-Kč</w:t>
      </w:r>
      <w:r w:rsidRPr="004E2D4A">
        <w:rPr>
          <w:rFonts w:ascii="Calibri" w:hAnsi="Calibri"/>
          <w:b/>
          <w:sz w:val="22"/>
          <w:szCs w:val="22"/>
        </w:rPr>
        <w:t xml:space="preserve"> bez DPH</w:t>
      </w:r>
      <w:r>
        <w:rPr>
          <w:rFonts w:ascii="Calibri" w:hAnsi="Calibri"/>
          <w:sz w:val="22"/>
          <w:szCs w:val="22"/>
        </w:rPr>
        <w:t>.</w:t>
      </w:r>
    </w:p>
    <w:p w14:paraId="2580493A" w14:textId="4585EA72" w:rsidR="005C551F" w:rsidRDefault="005C551F" w:rsidP="000E497D">
      <w:pPr>
        <w:jc w:val="both"/>
        <w:rPr>
          <w:rFonts w:ascii="Calibri" w:hAnsi="Calibri"/>
          <w:sz w:val="22"/>
          <w:szCs w:val="22"/>
        </w:rPr>
      </w:pPr>
    </w:p>
    <w:p w14:paraId="3D7FEFFB" w14:textId="77777777" w:rsidR="005C551F" w:rsidRPr="000E497D" w:rsidRDefault="005C551F"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lastRenderedPageBreak/>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Fakturace náhrady nákladů bude provedena na základě </w:t>
      </w:r>
      <w:proofErr w:type="gramStart"/>
      <w:r w:rsidRPr="00A701FA">
        <w:rPr>
          <w:rFonts w:ascii="Calibri" w:hAnsi="Calibri"/>
          <w:sz w:val="22"/>
          <w:szCs w:val="22"/>
        </w:rPr>
        <w:t>faktur - daňových</w:t>
      </w:r>
      <w:proofErr w:type="gramEnd"/>
      <w:r w:rsidRPr="00A701FA">
        <w:rPr>
          <w:rFonts w:ascii="Calibri" w:hAnsi="Calibri"/>
          <w:sz w:val="22"/>
          <w:szCs w:val="22"/>
        </w:rPr>
        <w:t xml:space="preserve">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43C192ED" w14:textId="2BF3C431" w:rsidR="005C551F" w:rsidRPr="004E2D4A" w:rsidRDefault="006767AF" w:rsidP="004E2D4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FA16246" w:rsidR="005C551F" w:rsidRPr="004E2D4A" w:rsidRDefault="006767AF" w:rsidP="004013DB">
      <w:pPr>
        <w:numPr>
          <w:ilvl w:val="0"/>
          <w:numId w:val="16"/>
        </w:numPr>
        <w:jc w:val="both"/>
        <w:rPr>
          <w:rFonts w:ascii="Calibri" w:hAnsi="Calibri"/>
          <w:sz w:val="22"/>
          <w:szCs w:val="22"/>
        </w:rPr>
      </w:pPr>
      <w:r w:rsidRPr="004E2D4A">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a povede přesnou evidenci přítomnosti svých pracovníků na staveništi včetně uvedení jejich zařazení do kvalifikačního stupně.  Odpovědný zástupce 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w:t>
      </w:r>
      <w:proofErr w:type="gramStart"/>
      <w:r w:rsidRPr="007E7DDB">
        <w:rPr>
          <w:rFonts w:ascii="Calibri" w:hAnsi="Calibri"/>
          <w:sz w:val="22"/>
          <w:szCs w:val="22"/>
        </w:rPr>
        <w:t>0,05%</w:t>
      </w:r>
      <w:proofErr w:type="gramEnd"/>
      <w:r w:rsidRPr="007E7DDB">
        <w:rPr>
          <w:rFonts w:ascii="Calibri" w:hAnsi="Calibri"/>
          <w:sz w:val="22"/>
          <w:szCs w:val="22"/>
        </w:rPr>
        <w:t xml:space="preserve">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 xml:space="preserve">pokutu ve výši </w:t>
      </w:r>
      <w:proofErr w:type="gramStart"/>
      <w:r w:rsidRPr="00F71D74">
        <w:rPr>
          <w:rFonts w:ascii="Calibri" w:hAnsi="Calibri"/>
          <w:sz w:val="22"/>
          <w:szCs w:val="22"/>
        </w:rPr>
        <w:t>0,05</w:t>
      </w:r>
      <w:r w:rsidRPr="00F71D74">
        <w:rPr>
          <w:rFonts w:ascii="Calibri" w:hAnsi="Calibri"/>
          <w:b/>
          <w:sz w:val="22"/>
          <w:szCs w:val="22"/>
        </w:rPr>
        <w:t>%</w:t>
      </w:r>
      <w:proofErr w:type="gramEnd"/>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45D358D5" w14:textId="122316BD" w:rsidR="0034482A" w:rsidRPr="0026723B" w:rsidRDefault="0034482A" w:rsidP="0034482A">
      <w:pPr>
        <w:numPr>
          <w:ilvl w:val="0"/>
          <w:numId w:val="16"/>
        </w:numPr>
        <w:jc w:val="both"/>
        <w:rPr>
          <w:rFonts w:ascii="Calibri" w:hAnsi="Calibri"/>
          <w:sz w:val="22"/>
          <w:szCs w:val="22"/>
        </w:rPr>
      </w:pPr>
      <w:r w:rsidRPr="0026723B">
        <w:rPr>
          <w:rFonts w:ascii="Calibri" w:hAnsi="Calibri"/>
          <w:sz w:val="22"/>
          <w:szCs w:val="22"/>
        </w:rPr>
        <w:t xml:space="preserve">Tato dohoda je uzavřena písemně, a to ve formě elektronické nebo listinné. Je-li tato dohoda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dohoda vyhotovena v listinné formě, připojí smluvní strany své podpisy tak, že každá ze smluvních stran obdrží 2 vyhotovení této dohody.                                                                                                </w:t>
      </w:r>
    </w:p>
    <w:p w14:paraId="744DAF01" w14:textId="77777777" w:rsidR="0034482A" w:rsidRDefault="0034482A" w:rsidP="004C2EDA">
      <w:pPr>
        <w:jc w:val="both"/>
        <w:rPr>
          <w:rFonts w:ascii="Calibri" w:hAnsi="Calibri" w:cs="Arial"/>
          <w:sz w:val="22"/>
          <w:szCs w:val="22"/>
        </w:rPr>
      </w:pPr>
    </w:p>
    <w:p w14:paraId="57F2892D" w14:textId="1DDE4D71" w:rsidR="00C6148C" w:rsidRDefault="00C6148C" w:rsidP="004C2EDA">
      <w:pPr>
        <w:jc w:val="both"/>
        <w:rPr>
          <w:rFonts w:ascii="Calibri" w:hAnsi="Calibri" w:cs="Arial"/>
          <w:sz w:val="22"/>
          <w:szCs w:val="22"/>
        </w:rPr>
      </w:pPr>
      <w:r w:rsidRPr="00767E55">
        <w:rPr>
          <w:rFonts w:ascii="Calibri" w:hAnsi="Calibri" w:cs="Arial"/>
          <w:sz w:val="22"/>
          <w:szCs w:val="22"/>
        </w:rPr>
        <w:t>Příloha: Kalkulace ceny ZAV</w:t>
      </w:r>
    </w:p>
    <w:p w14:paraId="0E856F19" w14:textId="77777777" w:rsidR="00C6148C" w:rsidRPr="009A4E39" w:rsidRDefault="00C6148C" w:rsidP="004C2EDA">
      <w:pPr>
        <w:jc w:val="both"/>
        <w:rPr>
          <w:rFonts w:ascii="Calibri" w:hAnsi="Calibri" w:cs="Arial"/>
          <w:sz w:val="22"/>
          <w:szCs w:val="22"/>
        </w:rPr>
      </w:pPr>
    </w:p>
    <w:tbl>
      <w:tblPr>
        <w:tblW w:w="0" w:type="auto"/>
        <w:tblLook w:val="00A0" w:firstRow="1" w:lastRow="0" w:firstColumn="1" w:lastColumn="0" w:noHBand="0" w:noVBand="0"/>
      </w:tblPr>
      <w:tblGrid>
        <w:gridCol w:w="3032"/>
        <w:gridCol w:w="3008"/>
        <w:gridCol w:w="3032"/>
      </w:tblGrid>
      <w:tr w:rsidR="006767AF" w:rsidRPr="009A4E39" w14:paraId="11DCC414" w14:textId="77777777" w:rsidTr="0076522F">
        <w:tc>
          <w:tcPr>
            <w:tcW w:w="3070" w:type="dxa"/>
          </w:tcPr>
          <w:p w14:paraId="3003CD34" w14:textId="6D9E4ADA"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w:t>
            </w:r>
            <w:r w:rsidR="00A67D5C">
              <w:rPr>
                <w:rFonts w:ascii="Calibri" w:hAnsi="Calibri" w:cs="Arial"/>
                <w:sz w:val="22"/>
                <w:szCs w:val="22"/>
              </w:rPr>
              <w:t>28.05.2025</w:t>
            </w:r>
          </w:p>
        </w:tc>
        <w:tc>
          <w:tcPr>
            <w:tcW w:w="3071" w:type="dxa"/>
          </w:tcPr>
          <w:p w14:paraId="1CE4036F" w14:textId="77777777" w:rsidR="006767AF" w:rsidRPr="009A4E39" w:rsidRDefault="006767AF" w:rsidP="0076522F">
            <w:pPr>
              <w:jc w:val="both"/>
              <w:rPr>
                <w:rFonts w:ascii="Calibri" w:hAnsi="Calibri" w:cs="Arial"/>
                <w:sz w:val="22"/>
                <w:szCs w:val="22"/>
              </w:rPr>
            </w:pPr>
          </w:p>
        </w:tc>
        <w:tc>
          <w:tcPr>
            <w:tcW w:w="3071" w:type="dxa"/>
          </w:tcPr>
          <w:p w14:paraId="72646DFF" w14:textId="15DEE142"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r w:rsidR="00A67D5C">
              <w:rPr>
                <w:rFonts w:ascii="Calibri" w:hAnsi="Calibri" w:cs="Arial"/>
                <w:sz w:val="22"/>
                <w:szCs w:val="22"/>
              </w:rPr>
              <w:t>28.05.2025</w:t>
            </w:r>
            <w:r w:rsidR="00BB2D91" w:rsidRPr="0097200D">
              <w:rPr>
                <w:rFonts w:ascii="Calibri" w:hAnsi="Calibri" w:cs="Arial"/>
                <w:sz w:val="22"/>
                <w:szCs w:val="22"/>
              </w:rPr>
              <w:t xml:space="preserve"> </w:t>
            </w:r>
          </w:p>
        </w:tc>
      </w:tr>
      <w:tr w:rsidR="006767AF" w:rsidRPr="009A4E39" w14:paraId="3707B1CE" w14:textId="77777777" w:rsidTr="0076522F">
        <w:tc>
          <w:tcPr>
            <w:tcW w:w="3070" w:type="dxa"/>
            <w:tcBorders>
              <w:bottom w:val="single" w:sz="4" w:space="0" w:color="auto"/>
            </w:tcBorders>
          </w:tcPr>
          <w:p w14:paraId="372BE78A"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1C403B72" w14:textId="77777777" w:rsidR="004E2D4A" w:rsidRDefault="004E2D4A" w:rsidP="0076522F">
            <w:pPr>
              <w:jc w:val="both"/>
              <w:rPr>
                <w:rFonts w:ascii="Calibri" w:hAnsi="Calibri" w:cs="Arial"/>
                <w:sz w:val="22"/>
                <w:szCs w:val="22"/>
              </w:rPr>
            </w:pPr>
          </w:p>
          <w:p w14:paraId="1ED2E098" w14:textId="77777777" w:rsidR="0034482A" w:rsidRDefault="0034482A" w:rsidP="0076522F">
            <w:pPr>
              <w:jc w:val="both"/>
              <w:rPr>
                <w:rFonts w:ascii="Calibri" w:hAnsi="Calibri" w:cs="Arial"/>
                <w:sz w:val="22"/>
                <w:szCs w:val="22"/>
              </w:rPr>
            </w:pPr>
          </w:p>
          <w:p w14:paraId="5D5AF13B" w14:textId="67355602" w:rsidR="004E2D4A" w:rsidRPr="009A4E39" w:rsidRDefault="004E2D4A" w:rsidP="0076522F">
            <w:pPr>
              <w:jc w:val="both"/>
              <w:rPr>
                <w:rFonts w:ascii="Calibri" w:hAnsi="Calibri" w:cs="Arial"/>
                <w:sz w:val="22"/>
                <w:szCs w:val="22"/>
              </w:rPr>
            </w:pPr>
          </w:p>
        </w:tc>
        <w:tc>
          <w:tcPr>
            <w:tcW w:w="3071" w:type="dxa"/>
          </w:tcPr>
          <w:p w14:paraId="04E54698" w14:textId="77777777" w:rsidR="006767AF" w:rsidRPr="009A4E39" w:rsidRDefault="006767AF" w:rsidP="0076522F">
            <w:pPr>
              <w:jc w:val="both"/>
              <w:rPr>
                <w:rFonts w:ascii="Calibri" w:hAnsi="Calibri" w:cs="Arial"/>
                <w:sz w:val="22"/>
                <w:szCs w:val="22"/>
              </w:rPr>
            </w:pPr>
          </w:p>
        </w:tc>
        <w:tc>
          <w:tcPr>
            <w:tcW w:w="3071"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76522F">
        <w:tc>
          <w:tcPr>
            <w:tcW w:w="3070"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71" w:type="dxa"/>
          </w:tcPr>
          <w:p w14:paraId="63C1DD9C" w14:textId="77777777" w:rsidR="006767AF" w:rsidRPr="009A4E39" w:rsidRDefault="006767AF" w:rsidP="0076522F">
            <w:pPr>
              <w:jc w:val="both"/>
              <w:rPr>
                <w:rFonts w:ascii="Calibri" w:hAnsi="Calibri" w:cs="Arial"/>
                <w:sz w:val="22"/>
                <w:szCs w:val="22"/>
              </w:rPr>
            </w:pPr>
          </w:p>
        </w:tc>
        <w:tc>
          <w:tcPr>
            <w:tcW w:w="3071" w:type="dxa"/>
            <w:tcBorders>
              <w:top w:val="single" w:sz="4" w:space="0" w:color="auto"/>
            </w:tcBorders>
          </w:tcPr>
          <w:p w14:paraId="1F5FA202" w14:textId="16BDF951" w:rsidR="006767AF" w:rsidRPr="009A4E39" w:rsidRDefault="00FB500A" w:rsidP="0076522F">
            <w:pPr>
              <w:jc w:val="both"/>
              <w:rPr>
                <w:rFonts w:ascii="Calibri" w:hAnsi="Calibri" w:cs="Arial"/>
                <w:sz w:val="22"/>
                <w:szCs w:val="22"/>
              </w:rPr>
            </w:pPr>
            <w:r>
              <w:rPr>
                <w:rFonts w:ascii="Calibri" w:hAnsi="Calibri" w:cs="Arial"/>
                <w:sz w:val="22"/>
                <w:szCs w:val="22"/>
              </w:rPr>
              <w:t>Mgr. Michal Přichystal</w:t>
            </w:r>
          </w:p>
          <w:p w14:paraId="32D6F5A1" w14:textId="2469052C" w:rsidR="006767AF" w:rsidRPr="009A4E39" w:rsidRDefault="00FB500A" w:rsidP="0076522F">
            <w:pPr>
              <w:jc w:val="both"/>
              <w:rPr>
                <w:rFonts w:ascii="Calibri" w:hAnsi="Calibri" w:cs="Arial"/>
                <w:sz w:val="22"/>
                <w:szCs w:val="22"/>
              </w:rPr>
            </w:pPr>
            <w:r>
              <w:rPr>
                <w:rFonts w:ascii="Calibri" w:hAnsi="Calibri" w:cs="Arial"/>
                <w:sz w:val="22"/>
                <w:szCs w:val="22"/>
              </w:rPr>
              <w:t>ředitel</w:t>
            </w:r>
          </w:p>
        </w:tc>
      </w:tr>
    </w:tbl>
    <w:p w14:paraId="7C13A00E" w14:textId="103EF337" w:rsidR="006767AF" w:rsidRPr="009A4E39" w:rsidRDefault="006767AF" w:rsidP="0034482A">
      <w:pPr>
        <w:rPr>
          <w:rFonts w:ascii="Calibri" w:hAnsi="Calibri"/>
          <w:sz w:val="22"/>
          <w:szCs w:val="22"/>
        </w:rPr>
      </w:pPr>
    </w:p>
    <w:sectPr w:rsidR="006767AF" w:rsidRPr="009A4E39" w:rsidSect="00E459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D2E2" w14:textId="77777777" w:rsidR="00116529" w:rsidRDefault="00116529" w:rsidP="004C2EDA">
      <w:r>
        <w:separator/>
      </w:r>
    </w:p>
  </w:endnote>
  <w:endnote w:type="continuationSeparator" w:id="0">
    <w:p w14:paraId="79DD354A" w14:textId="77777777" w:rsidR="00116529" w:rsidRDefault="00116529"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94DA" w14:textId="77777777" w:rsidR="00116529" w:rsidRDefault="00116529" w:rsidP="004C2EDA">
      <w:r>
        <w:separator/>
      </w:r>
    </w:p>
  </w:footnote>
  <w:footnote w:type="continuationSeparator" w:id="0">
    <w:p w14:paraId="6FD36EA5" w14:textId="77777777" w:rsidR="00116529" w:rsidRDefault="00116529"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1FF47B58"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AF65E3">
      <w:rPr>
        <w:rFonts w:ascii="Calibri" w:hAnsi="Calibri"/>
      </w:rPr>
      <w:t>SML/0234/25</w:t>
    </w:r>
  </w:p>
  <w:p w14:paraId="0EDF7194" w14:textId="4E831CA0" w:rsidR="0060386E" w:rsidRDefault="0060386E">
    <w:pPr>
      <w:pStyle w:val="Zhlav"/>
      <w:rPr>
        <w:rFonts w:ascii="Calibri" w:hAnsi="Calibri"/>
      </w:rPr>
    </w:pPr>
    <w:r w:rsidRPr="009A4E39">
      <w:rPr>
        <w:rFonts w:ascii="Calibri" w:hAnsi="Calibri"/>
      </w:rPr>
      <w:t>Číslo smlouvy zhotovitele:</w:t>
    </w:r>
    <w:r w:rsidR="00B239B0">
      <w:rPr>
        <w:rFonts w:ascii="Calibri" w:hAnsi="Calibri"/>
      </w:rPr>
      <w:t xml:space="preserve"> 25233/2025</w:t>
    </w:r>
  </w:p>
  <w:p w14:paraId="2D14FDFA" w14:textId="08081E59"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B239B0" w:rsidRPr="00B239B0">
      <w:rPr>
        <w:rFonts w:ascii="Calibri" w:hAnsi="Calibri"/>
      </w:rPr>
      <w:t>M-202501059</w:t>
    </w:r>
  </w:p>
  <w:p w14:paraId="2133EE57" w14:textId="77777777" w:rsidR="004E2D4A" w:rsidRPr="009A4E39" w:rsidRDefault="004E2D4A">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37614335">
    <w:abstractNumId w:val="15"/>
  </w:num>
  <w:num w:numId="2" w16cid:durableId="245893075">
    <w:abstractNumId w:val="10"/>
  </w:num>
  <w:num w:numId="3" w16cid:durableId="958797667">
    <w:abstractNumId w:val="3"/>
  </w:num>
  <w:num w:numId="4" w16cid:durableId="832263092">
    <w:abstractNumId w:val="17"/>
  </w:num>
  <w:num w:numId="5" w16cid:durableId="670328286">
    <w:abstractNumId w:val="0"/>
  </w:num>
  <w:num w:numId="6" w16cid:durableId="1204826514">
    <w:abstractNumId w:val="2"/>
  </w:num>
  <w:num w:numId="7" w16cid:durableId="2009138446">
    <w:abstractNumId w:val="11"/>
  </w:num>
  <w:num w:numId="8" w16cid:durableId="96102733">
    <w:abstractNumId w:val="20"/>
  </w:num>
  <w:num w:numId="9" w16cid:durableId="1365254622">
    <w:abstractNumId w:val="1"/>
  </w:num>
  <w:num w:numId="10" w16cid:durableId="1123040037">
    <w:abstractNumId w:val="13"/>
  </w:num>
  <w:num w:numId="11" w16cid:durableId="718935986">
    <w:abstractNumId w:val="22"/>
  </w:num>
  <w:num w:numId="12" w16cid:durableId="828668127">
    <w:abstractNumId w:val="8"/>
  </w:num>
  <w:num w:numId="13" w16cid:durableId="1148588780">
    <w:abstractNumId w:val="4"/>
  </w:num>
  <w:num w:numId="14" w16cid:durableId="427040422">
    <w:abstractNumId w:val="7"/>
  </w:num>
  <w:num w:numId="15" w16cid:durableId="1404915910">
    <w:abstractNumId w:val="6"/>
  </w:num>
  <w:num w:numId="16" w16cid:durableId="258149623">
    <w:abstractNumId w:val="12"/>
  </w:num>
  <w:num w:numId="17" w16cid:durableId="1011182007">
    <w:abstractNumId w:val="19"/>
  </w:num>
  <w:num w:numId="18" w16cid:durableId="2143380931">
    <w:abstractNumId w:val="16"/>
  </w:num>
  <w:num w:numId="19" w16cid:durableId="1148090885">
    <w:abstractNumId w:val="21"/>
  </w:num>
  <w:num w:numId="20" w16cid:durableId="1654410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1218371">
    <w:abstractNumId w:val="14"/>
  </w:num>
  <w:num w:numId="22" w16cid:durableId="896480174">
    <w:abstractNumId w:val="9"/>
  </w:num>
  <w:num w:numId="23" w16cid:durableId="12685443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10B77"/>
    <w:rsid w:val="0002097E"/>
    <w:rsid w:val="00044B1C"/>
    <w:rsid w:val="00053319"/>
    <w:rsid w:val="00074B30"/>
    <w:rsid w:val="000952C1"/>
    <w:rsid w:val="000A5B9D"/>
    <w:rsid w:val="000B1BAA"/>
    <w:rsid w:val="000B5FF7"/>
    <w:rsid w:val="000D075A"/>
    <w:rsid w:val="000E497D"/>
    <w:rsid w:val="000F3B49"/>
    <w:rsid w:val="00102393"/>
    <w:rsid w:val="00116529"/>
    <w:rsid w:val="00126E5C"/>
    <w:rsid w:val="00127E45"/>
    <w:rsid w:val="00132303"/>
    <w:rsid w:val="00136442"/>
    <w:rsid w:val="00144012"/>
    <w:rsid w:val="00146C5C"/>
    <w:rsid w:val="001551AA"/>
    <w:rsid w:val="001700C5"/>
    <w:rsid w:val="00182124"/>
    <w:rsid w:val="00184DE1"/>
    <w:rsid w:val="001874AF"/>
    <w:rsid w:val="00192F6D"/>
    <w:rsid w:val="001A32AF"/>
    <w:rsid w:val="001A49E2"/>
    <w:rsid w:val="001B5F4A"/>
    <w:rsid w:val="001D40A5"/>
    <w:rsid w:val="001E2FB2"/>
    <w:rsid w:val="001E3C39"/>
    <w:rsid w:val="001E4165"/>
    <w:rsid w:val="001E6245"/>
    <w:rsid w:val="0020388A"/>
    <w:rsid w:val="00210D3B"/>
    <w:rsid w:val="00230E96"/>
    <w:rsid w:val="002367C9"/>
    <w:rsid w:val="0024717F"/>
    <w:rsid w:val="00260671"/>
    <w:rsid w:val="00265E34"/>
    <w:rsid w:val="00277AAF"/>
    <w:rsid w:val="00283BAE"/>
    <w:rsid w:val="00286E71"/>
    <w:rsid w:val="00287346"/>
    <w:rsid w:val="002A1F67"/>
    <w:rsid w:val="002A2FBB"/>
    <w:rsid w:val="002A6261"/>
    <w:rsid w:val="002A66A4"/>
    <w:rsid w:val="002B3DA9"/>
    <w:rsid w:val="002C7FBF"/>
    <w:rsid w:val="002E6A3F"/>
    <w:rsid w:val="0034482A"/>
    <w:rsid w:val="003529EF"/>
    <w:rsid w:val="00357E7B"/>
    <w:rsid w:val="00372334"/>
    <w:rsid w:val="0039161B"/>
    <w:rsid w:val="003A53F7"/>
    <w:rsid w:val="003A6D2C"/>
    <w:rsid w:val="003B0913"/>
    <w:rsid w:val="003B3943"/>
    <w:rsid w:val="003B74FA"/>
    <w:rsid w:val="003C002A"/>
    <w:rsid w:val="003C19FE"/>
    <w:rsid w:val="003C1C67"/>
    <w:rsid w:val="003E004C"/>
    <w:rsid w:val="003E2DEB"/>
    <w:rsid w:val="003E6840"/>
    <w:rsid w:val="003F36C2"/>
    <w:rsid w:val="004067C6"/>
    <w:rsid w:val="004220F8"/>
    <w:rsid w:val="004262AA"/>
    <w:rsid w:val="00446A86"/>
    <w:rsid w:val="0045055D"/>
    <w:rsid w:val="00480731"/>
    <w:rsid w:val="004809F1"/>
    <w:rsid w:val="00484440"/>
    <w:rsid w:val="00491D61"/>
    <w:rsid w:val="004922B6"/>
    <w:rsid w:val="00492483"/>
    <w:rsid w:val="004B4D52"/>
    <w:rsid w:val="004C2A10"/>
    <w:rsid w:val="004C2EDA"/>
    <w:rsid w:val="004C4E93"/>
    <w:rsid w:val="004D66BA"/>
    <w:rsid w:val="004D7C74"/>
    <w:rsid w:val="004E203D"/>
    <w:rsid w:val="004E2D4A"/>
    <w:rsid w:val="004F7675"/>
    <w:rsid w:val="005214CB"/>
    <w:rsid w:val="005414B6"/>
    <w:rsid w:val="0054243E"/>
    <w:rsid w:val="00560B6B"/>
    <w:rsid w:val="0056451A"/>
    <w:rsid w:val="00585590"/>
    <w:rsid w:val="00596345"/>
    <w:rsid w:val="00596924"/>
    <w:rsid w:val="005969E3"/>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23354"/>
    <w:rsid w:val="006268F9"/>
    <w:rsid w:val="00626AA3"/>
    <w:rsid w:val="00653AB9"/>
    <w:rsid w:val="006548A7"/>
    <w:rsid w:val="006657B4"/>
    <w:rsid w:val="00665976"/>
    <w:rsid w:val="006767AF"/>
    <w:rsid w:val="006863CA"/>
    <w:rsid w:val="00687FB2"/>
    <w:rsid w:val="006B7F34"/>
    <w:rsid w:val="006C04BC"/>
    <w:rsid w:val="006C2D6E"/>
    <w:rsid w:val="006D42FF"/>
    <w:rsid w:val="006D7DF2"/>
    <w:rsid w:val="0070486F"/>
    <w:rsid w:val="00710715"/>
    <w:rsid w:val="00710F95"/>
    <w:rsid w:val="00717423"/>
    <w:rsid w:val="0074004A"/>
    <w:rsid w:val="00744695"/>
    <w:rsid w:val="00746247"/>
    <w:rsid w:val="007508A6"/>
    <w:rsid w:val="0075320C"/>
    <w:rsid w:val="00755D01"/>
    <w:rsid w:val="00760FB2"/>
    <w:rsid w:val="00764C96"/>
    <w:rsid w:val="0076522F"/>
    <w:rsid w:val="007662F6"/>
    <w:rsid w:val="00767E55"/>
    <w:rsid w:val="00781CB2"/>
    <w:rsid w:val="00787DC8"/>
    <w:rsid w:val="007918AC"/>
    <w:rsid w:val="00792D48"/>
    <w:rsid w:val="00795799"/>
    <w:rsid w:val="007A1245"/>
    <w:rsid w:val="007A2987"/>
    <w:rsid w:val="007A2FEA"/>
    <w:rsid w:val="007A34EA"/>
    <w:rsid w:val="007B0C03"/>
    <w:rsid w:val="007B5F77"/>
    <w:rsid w:val="007B619F"/>
    <w:rsid w:val="007D04D3"/>
    <w:rsid w:val="007E7DDB"/>
    <w:rsid w:val="00801FB0"/>
    <w:rsid w:val="00806128"/>
    <w:rsid w:val="00825BE1"/>
    <w:rsid w:val="00826460"/>
    <w:rsid w:val="00833053"/>
    <w:rsid w:val="00837A06"/>
    <w:rsid w:val="00842D07"/>
    <w:rsid w:val="00842D85"/>
    <w:rsid w:val="00843E74"/>
    <w:rsid w:val="00852B8B"/>
    <w:rsid w:val="008563CB"/>
    <w:rsid w:val="00856798"/>
    <w:rsid w:val="008639AA"/>
    <w:rsid w:val="00870D23"/>
    <w:rsid w:val="0088347C"/>
    <w:rsid w:val="00884B69"/>
    <w:rsid w:val="008860EE"/>
    <w:rsid w:val="00890847"/>
    <w:rsid w:val="008A59AA"/>
    <w:rsid w:val="008A7107"/>
    <w:rsid w:val="008C0121"/>
    <w:rsid w:val="008C01C6"/>
    <w:rsid w:val="008C7963"/>
    <w:rsid w:val="008D3338"/>
    <w:rsid w:val="008D4854"/>
    <w:rsid w:val="008E09D1"/>
    <w:rsid w:val="008E4E55"/>
    <w:rsid w:val="008E7928"/>
    <w:rsid w:val="00912290"/>
    <w:rsid w:val="00940D96"/>
    <w:rsid w:val="00941F94"/>
    <w:rsid w:val="0096500B"/>
    <w:rsid w:val="0097200D"/>
    <w:rsid w:val="009A4E39"/>
    <w:rsid w:val="009C048A"/>
    <w:rsid w:val="009C1DA1"/>
    <w:rsid w:val="009C229A"/>
    <w:rsid w:val="009E34B8"/>
    <w:rsid w:val="009F43BA"/>
    <w:rsid w:val="009F48D0"/>
    <w:rsid w:val="00A01D79"/>
    <w:rsid w:val="00A01EE0"/>
    <w:rsid w:val="00A164BF"/>
    <w:rsid w:val="00A24EBA"/>
    <w:rsid w:val="00A34C65"/>
    <w:rsid w:val="00A37506"/>
    <w:rsid w:val="00A45906"/>
    <w:rsid w:val="00A46672"/>
    <w:rsid w:val="00A50918"/>
    <w:rsid w:val="00A51677"/>
    <w:rsid w:val="00A65A28"/>
    <w:rsid w:val="00A67D5C"/>
    <w:rsid w:val="00A701FA"/>
    <w:rsid w:val="00A76262"/>
    <w:rsid w:val="00A856FC"/>
    <w:rsid w:val="00A90DA5"/>
    <w:rsid w:val="00AA5A5D"/>
    <w:rsid w:val="00AC2D88"/>
    <w:rsid w:val="00AE3621"/>
    <w:rsid w:val="00AE5E08"/>
    <w:rsid w:val="00AF65E3"/>
    <w:rsid w:val="00B10A48"/>
    <w:rsid w:val="00B17131"/>
    <w:rsid w:val="00B239B0"/>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C03A00"/>
    <w:rsid w:val="00C07415"/>
    <w:rsid w:val="00C14350"/>
    <w:rsid w:val="00C22846"/>
    <w:rsid w:val="00C24F06"/>
    <w:rsid w:val="00C252BA"/>
    <w:rsid w:val="00C31158"/>
    <w:rsid w:val="00C36992"/>
    <w:rsid w:val="00C411B3"/>
    <w:rsid w:val="00C43F44"/>
    <w:rsid w:val="00C53810"/>
    <w:rsid w:val="00C6148C"/>
    <w:rsid w:val="00C72A75"/>
    <w:rsid w:val="00C75677"/>
    <w:rsid w:val="00C80621"/>
    <w:rsid w:val="00C907EC"/>
    <w:rsid w:val="00C96C31"/>
    <w:rsid w:val="00CA4BF7"/>
    <w:rsid w:val="00CA5DB8"/>
    <w:rsid w:val="00CB05D1"/>
    <w:rsid w:val="00CB3E14"/>
    <w:rsid w:val="00CB4821"/>
    <w:rsid w:val="00CD4E3C"/>
    <w:rsid w:val="00CE7FCE"/>
    <w:rsid w:val="00D211FB"/>
    <w:rsid w:val="00D26B12"/>
    <w:rsid w:val="00D512AE"/>
    <w:rsid w:val="00D52ED4"/>
    <w:rsid w:val="00D62A9A"/>
    <w:rsid w:val="00D84682"/>
    <w:rsid w:val="00DE7FA7"/>
    <w:rsid w:val="00DF0456"/>
    <w:rsid w:val="00E071D0"/>
    <w:rsid w:val="00E16F31"/>
    <w:rsid w:val="00E4598E"/>
    <w:rsid w:val="00E55823"/>
    <w:rsid w:val="00E61C9D"/>
    <w:rsid w:val="00E65A0C"/>
    <w:rsid w:val="00E75D4E"/>
    <w:rsid w:val="00E82197"/>
    <w:rsid w:val="00E822C9"/>
    <w:rsid w:val="00E83033"/>
    <w:rsid w:val="00E97554"/>
    <w:rsid w:val="00EA7650"/>
    <w:rsid w:val="00EB46D5"/>
    <w:rsid w:val="00EB4D21"/>
    <w:rsid w:val="00EB6835"/>
    <w:rsid w:val="00EB7EED"/>
    <w:rsid w:val="00EC6DBF"/>
    <w:rsid w:val="00EE09C9"/>
    <w:rsid w:val="00EE0CE7"/>
    <w:rsid w:val="00EE7FC6"/>
    <w:rsid w:val="00EF03D8"/>
    <w:rsid w:val="00EF3B14"/>
    <w:rsid w:val="00F04624"/>
    <w:rsid w:val="00F129EE"/>
    <w:rsid w:val="00F17698"/>
    <w:rsid w:val="00F20017"/>
    <w:rsid w:val="00F359A0"/>
    <w:rsid w:val="00F41AF7"/>
    <w:rsid w:val="00F57114"/>
    <w:rsid w:val="00F65C85"/>
    <w:rsid w:val="00F70C10"/>
    <w:rsid w:val="00F71D74"/>
    <w:rsid w:val="00F76170"/>
    <w:rsid w:val="00F91637"/>
    <w:rsid w:val="00FA3DF2"/>
    <w:rsid w:val="00FB078D"/>
    <w:rsid w:val="00FB370E"/>
    <w:rsid w:val="00FB500A"/>
    <w:rsid w:val="00FB5CD8"/>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 w:type="character" w:styleId="Nevyeenzmnka">
    <w:name w:val="Unresolved Mention"/>
    <w:basedOn w:val="Standardnpsmoodstavce"/>
    <w:uiPriority w:val="99"/>
    <w:semiHidden/>
    <w:unhideWhenUsed/>
    <w:rsid w:val="00AF6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7798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2025-05-28T04:24:00Z</cp:lastPrinted>
  <dcterms:created xsi:type="dcterms:W3CDTF">2025-05-28T11:20:00Z</dcterms:created>
  <dcterms:modified xsi:type="dcterms:W3CDTF">2025-05-28T11:20:00Z</dcterms:modified>
</cp:coreProperties>
</file>