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4B971F0A" w:rsidR="00D859C2" w:rsidRPr="006222A8" w:rsidRDefault="006222A8" w:rsidP="00D859C2">
      <w:pPr>
        <w:rPr>
          <w:b/>
        </w:rPr>
      </w:pPr>
      <w:r w:rsidRPr="006222A8">
        <w:rPr>
          <w:b/>
        </w:rPr>
        <w:t>IRIDIUM spol. s r.o.</w:t>
      </w:r>
    </w:p>
    <w:p w14:paraId="3DADA2B1" w14:textId="11447ED5" w:rsidR="00D859C2" w:rsidRPr="006222A8" w:rsidRDefault="00D859C2" w:rsidP="00D859C2">
      <w:r w:rsidRPr="006222A8">
        <w:t xml:space="preserve">IČ: </w:t>
      </w:r>
      <w:r w:rsidR="006222A8">
        <w:t>46900667</w:t>
      </w:r>
    </w:p>
    <w:p w14:paraId="494735B8" w14:textId="058F0EC4" w:rsidR="00D859C2" w:rsidRPr="006222A8" w:rsidRDefault="00D859C2" w:rsidP="00D859C2">
      <w:r w:rsidRPr="006222A8">
        <w:t xml:space="preserve">DIČ: </w:t>
      </w:r>
      <w:r w:rsidR="006222A8">
        <w:t>CZ46900667</w:t>
      </w:r>
    </w:p>
    <w:p w14:paraId="4BE4B061" w14:textId="334FB72C" w:rsidR="00D859C2" w:rsidRPr="006222A8" w:rsidRDefault="00D859C2" w:rsidP="00D859C2">
      <w:r w:rsidRPr="006222A8">
        <w:t xml:space="preserve">se sídlem: </w:t>
      </w:r>
      <w:r w:rsidR="006222A8">
        <w:t>Poděbradova 485/106, 612 00 Brno</w:t>
      </w:r>
    </w:p>
    <w:p w14:paraId="1F4F5F98" w14:textId="5BF7066C" w:rsidR="00D859C2" w:rsidRPr="006222A8" w:rsidRDefault="00D859C2" w:rsidP="00D859C2">
      <w:r w:rsidRPr="006222A8">
        <w:t xml:space="preserve">zastoupena: </w:t>
      </w:r>
      <w:r w:rsidR="006222A8">
        <w:t>Ing. Petrem Výmolou, jednatelem</w:t>
      </w:r>
    </w:p>
    <w:p w14:paraId="43130257" w14:textId="14503AC1" w:rsidR="00D859C2" w:rsidRPr="006222A8" w:rsidRDefault="00D859C2" w:rsidP="00D859C2">
      <w:r w:rsidRPr="006222A8">
        <w:t xml:space="preserve">bankovní spojení: </w:t>
      </w:r>
      <w:proofErr w:type="spellStart"/>
      <w:r w:rsidR="006222A8">
        <w:t>Raiffeisenbank</w:t>
      </w:r>
      <w:proofErr w:type="spellEnd"/>
    </w:p>
    <w:p w14:paraId="4B4D9F51" w14:textId="538428C0" w:rsidR="00D859C2" w:rsidRPr="006222A8" w:rsidRDefault="00D859C2" w:rsidP="00D859C2">
      <w:r w:rsidRPr="006222A8">
        <w:t xml:space="preserve">číslo účtu: </w:t>
      </w:r>
      <w:r w:rsidR="006222A8">
        <w:t>403700044/5500</w:t>
      </w:r>
    </w:p>
    <w:p w14:paraId="7BE5CCD9" w14:textId="547B54E7" w:rsidR="00D859C2" w:rsidRPr="00512AB9" w:rsidRDefault="00D859C2" w:rsidP="00D859C2">
      <w:r w:rsidRPr="006222A8">
        <w:t xml:space="preserve">zapsána v obchodním rejstříku vedeném </w:t>
      </w:r>
      <w:r w:rsidR="006222A8">
        <w:t xml:space="preserve">Krajským </w:t>
      </w:r>
      <w:r w:rsidRPr="006222A8">
        <w:t>soudem v </w:t>
      </w:r>
      <w:r w:rsidR="006222A8">
        <w:t>Brně</w:t>
      </w:r>
      <w:r w:rsidRPr="006222A8">
        <w:t xml:space="preserve">, oddíl </w:t>
      </w:r>
      <w:r w:rsidR="006222A8">
        <w:t>C</w:t>
      </w:r>
      <w:r w:rsidRPr="006222A8">
        <w:t xml:space="preserve">, vložka </w:t>
      </w:r>
      <w:r w:rsidR="006222A8">
        <w:t>5741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7B1A0C5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</w:t>
      </w:r>
      <w:bookmarkStart w:id="0" w:name="_GoBack"/>
      <w:bookmarkEnd w:id="0"/>
      <w:r>
        <w:t xml:space="preserve">kázce vyhlášené Kupujícím pod názvem </w:t>
      </w:r>
      <w:r w:rsidR="009A7600">
        <w:t>„</w:t>
      </w:r>
      <w:r w:rsidR="00AA18DC">
        <w:t xml:space="preserve">Nábytek pro IHOK“ </w:t>
      </w:r>
      <w:r>
        <w:t>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BC7223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5D1DE0C2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957B9F">
        <w:t>92</w:t>
      </w:r>
      <w:r w:rsidR="002F4F30" w:rsidRPr="00D859C2">
        <w:t xml:space="preserve"> ks </w:t>
      </w:r>
      <w:r w:rsidR="00957B9F">
        <w:t>nábytku</w:t>
      </w:r>
      <w:r w:rsidR="008645D8" w:rsidRPr="00D859C2">
        <w:rPr>
          <w:b/>
        </w:rPr>
        <w:t xml:space="preserve">, typ: </w:t>
      </w:r>
      <w:r w:rsidR="00957B9F">
        <w:rPr>
          <w:b/>
        </w:rPr>
        <w:t>atypický nábytek</w:t>
      </w:r>
      <w:r w:rsidR="004453FF" w:rsidRPr="00D859C2">
        <w:rPr>
          <w:b/>
        </w:rPr>
        <w:t xml:space="preserve">, výrobce </w:t>
      </w:r>
      <w:r w:rsidR="00957B9F">
        <w:rPr>
          <w:b/>
        </w:rPr>
        <w:t>Iridium spol. s r.o.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32FA4F4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AA18DC" w:rsidRPr="00AA18DC">
        <w:rPr>
          <w:b/>
        </w:rPr>
        <w:t>do 10 týdnů</w:t>
      </w:r>
      <w:r w:rsidR="00AA18DC">
        <w:t xml:space="preserve"> ode dne doručení písemné výzvy Kupujícího k plnění, </w:t>
      </w:r>
      <w:r w:rsidR="00C2515A">
        <w:t>cca</w:t>
      </w:r>
      <w:r w:rsidR="00AA18DC">
        <w:t xml:space="preserve"> </w:t>
      </w:r>
      <w:r w:rsidR="00C2515A">
        <w:rPr>
          <w:b/>
          <w:bCs/>
        </w:rPr>
        <w:t>červenec</w:t>
      </w:r>
      <w:r w:rsidR="00AA18DC">
        <w:rPr>
          <w:b/>
          <w:bCs/>
        </w:rPr>
        <w:t xml:space="preserve"> 2025</w:t>
      </w:r>
      <w:r w:rsidR="00250E90" w:rsidRPr="00D859C2">
        <w:t xml:space="preserve">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41D65C02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AA18DC">
        <w:t xml:space="preserve">Interní hematologická a onkologická klinika, pracoviště Nemocnice Bohunice a Porodnice, FN Brno, Jihlavská 20, 625 00 Brno. 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6847B974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proofErr w:type="spellStart"/>
      <w:r w:rsidR="00C628CC">
        <w:t>xxx</w:t>
      </w:r>
      <w:proofErr w:type="spellEnd"/>
      <w:r w:rsidR="00AA18DC" w:rsidRPr="00D859C2">
        <w:t xml:space="preserve">, tel.: </w:t>
      </w:r>
      <w:proofErr w:type="spellStart"/>
      <w:r w:rsidR="00C628CC">
        <w:t>xxx</w:t>
      </w:r>
      <w:proofErr w:type="spellEnd"/>
      <w:r w:rsidR="00C628CC">
        <w:t xml:space="preserve"> </w:t>
      </w:r>
      <w:r w:rsidR="00AA18DC" w:rsidRPr="00D859C2">
        <w:t>a písemně na e-mail:</w:t>
      </w:r>
      <w:r w:rsidR="00C628CC">
        <w:t xml:space="preserve"> </w:t>
      </w:r>
      <w:proofErr w:type="spellStart"/>
      <w:r w:rsidR="00C628CC">
        <w:t>xxx</w:t>
      </w:r>
      <w:proofErr w:type="spellEnd"/>
      <w:r w:rsidR="00AA18DC" w:rsidRPr="00D859C2">
        <w:t>.</w:t>
      </w:r>
      <w:r w:rsidRPr="00D859C2">
        <w:t xml:space="preserve"> Bez tohoto oznámení není Kupující povinen Zboží převzít</w:t>
      </w:r>
      <w:r w:rsidR="00B91037" w:rsidRPr="00D859C2">
        <w:t>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</w:t>
      </w:r>
      <w:r>
        <w:lastRenderedPageBreak/>
        <w:t xml:space="preserve">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957B9F" w:rsidRPr="00957B9F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957B9F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957B9F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29357D0E" w:rsidR="00D859C2" w:rsidRPr="00957B9F" w:rsidRDefault="00957B9F" w:rsidP="000E79CE">
            <w:pPr>
              <w:pStyle w:val="Zkladntext3"/>
              <w:rPr>
                <w:b/>
                <w:sz w:val="22"/>
                <w:szCs w:val="22"/>
              </w:rPr>
            </w:pPr>
            <w:r w:rsidRPr="00957B9F">
              <w:rPr>
                <w:b/>
                <w:sz w:val="22"/>
                <w:szCs w:val="22"/>
              </w:rPr>
              <w:t>399.934,-</w:t>
            </w:r>
            <w:r w:rsidR="00D859C2" w:rsidRPr="00957B9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57B9F" w:rsidRPr="00957B9F" w14:paraId="33392E42" w14:textId="77777777" w:rsidTr="000E79CE">
        <w:tc>
          <w:tcPr>
            <w:tcW w:w="5211" w:type="dxa"/>
            <w:shd w:val="clear" w:color="auto" w:fill="auto"/>
          </w:tcPr>
          <w:p w14:paraId="193C9961" w14:textId="04A76516" w:rsidR="00D859C2" w:rsidRPr="00957B9F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957B9F">
              <w:rPr>
                <w:b/>
                <w:sz w:val="22"/>
                <w:szCs w:val="22"/>
              </w:rPr>
              <w:t xml:space="preserve">DPH </w:t>
            </w:r>
            <w:r w:rsidR="00957B9F" w:rsidRPr="00957B9F">
              <w:rPr>
                <w:b/>
                <w:sz w:val="22"/>
                <w:szCs w:val="22"/>
              </w:rPr>
              <w:t>21</w:t>
            </w:r>
            <w:r w:rsidRPr="00957B9F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48114A25" w:rsidR="00D859C2" w:rsidRPr="00957B9F" w:rsidRDefault="00957B9F" w:rsidP="000E79CE">
            <w:pPr>
              <w:pStyle w:val="Zkladntext3"/>
              <w:rPr>
                <w:b/>
                <w:sz w:val="22"/>
                <w:szCs w:val="22"/>
              </w:rPr>
            </w:pPr>
            <w:r w:rsidRPr="00957B9F">
              <w:rPr>
                <w:b/>
                <w:sz w:val="22"/>
                <w:szCs w:val="22"/>
              </w:rPr>
              <w:t>83.986,14</w:t>
            </w:r>
            <w:r w:rsidR="00D859C2" w:rsidRPr="00957B9F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57B9F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957B9F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957B9F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2FB7E516" w:rsidR="00D859C2" w:rsidRPr="005B49AA" w:rsidRDefault="00957B9F" w:rsidP="000E79CE">
            <w:pPr>
              <w:pStyle w:val="Zkladntext3"/>
              <w:rPr>
                <w:b/>
                <w:sz w:val="22"/>
                <w:szCs w:val="22"/>
              </w:rPr>
            </w:pPr>
            <w:r w:rsidRPr="00957B9F">
              <w:rPr>
                <w:b/>
                <w:sz w:val="22"/>
                <w:szCs w:val="22"/>
              </w:rPr>
              <w:t>483.920,14</w:t>
            </w:r>
            <w:r w:rsidR="00D859C2" w:rsidRPr="00957B9F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lastRenderedPageBreak/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</w:t>
      </w:r>
      <w:r w:rsidR="0058691F" w:rsidRPr="00D859C2">
        <w:lastRenderedPageBreak/>
        <w:t xml:space="preserve">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BC7223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lastRenderedPageBreak/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Žádným ustanovením této smlouvy nejsou dotčeny povinnosti Kupujícího vyplývající z právních předpisů, zejména ze zákona č. 106/1999 Sb., o svobodném přístupu </w:t>
      </w:r>
      <w:r>
        <w:lastRenderedPageBreak/>
        <w:t>k informacím, ve znění pozdějších předpisů, a ze zákona č. 340/2015 Sb., o registru smluv, ve znění pozdějších předpisů.</w:t>
      </w:r>
    </w:p>
    <w:p w14:paraId="1BA7AF28" w14:textId="77777777" w:rsidR="00AA18DC" w:rsidRDefault="00AA18DC" w:rsidP="00AA18DC">
      <w:pPr>
        <w:pStyle w:val="Odstavecsmlouvy"/>
        <w:numPr>
          <w:ilvl w:val="0"/>
          <w:numId w:val="0"/>
        </w:numPr>
        <w:ind w:left="567"/>
      </w:pPr>
    </w:p>
    <w:p w14:paraId="6F4BD2AE" w14:textId="77777777" w:rsidR="00BC7223" w:rsidRDefault="00BC7223" w:rsidP="00AA18DC">
      <w:pPr>
        <w:pStyle w:val="Odstavecsmlouvy"/>
        <w:numPr>
          <w:ilvl w:val="0"/>
          <w:numId w:val="0"/>
        </w:numPr>
        <w:ind w:left="567"/>
      </w:pP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0FC7D7E" w:rsidR="00327588" w:rsidRPr="00D859C2" w:rsidRDefault="00CC12D2" w:rsidP="00094B12">
      <w:pPr>
        <w:pStyle w:val="Odstavecsmlouvy"/>
        <w:rPr>
          <w:snapToGrid w:val="0"/>
        </w:rPr>
      </w:pPr>
      <w:r w:rsidRPr="00AA18DC">
        <w:rPr>
          <w:snapToGrid w:val="0"/>
        </w:rPr>
        <w:t xml:space="preserve">Tato smlouva je sepsána ve </w:t>
      </w:r>
      <w:r w:rsidR="00AF0406" w:rsidRPr="00AA18DC">
        <w:rPr>
          <w:snapToGrid w:val="0"/>
        </w:rPr>
        <w:t>dvou</w:t>
      </w:r>
      <w:r w:rsidRPr="00AA18DC">
        <w:rPr>
          <w:snapToGrid w:val="0"/>
        </w:rPr>
        <w:t xml:space="preserve"> vyhotoveních stejné platnosti a závaznosti, </w:t>
      </w:r>
      <w:r w:rsidR="00160D16" w:rsidRPr="00AA18DC">
        <w:rPr>
          <w:snapToGrid w:val="0"/>
        </w:rPr>
        <w:t>přičemž každá smluvní strana obdrží jedno vyhotovení</w:t>
      </w:r>
      <w:r w:rsidR="00AA18DC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lastRenderedPageBreak/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9F8D1FB" w14:textId="77777777" w:rsidR="006C4D37" w:rsidRDefault="006C4D37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499C4560" w14:textId="77777777" w:rsidR="006C4D37" w:rsidRDefault="006C4D37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772564E" w14:textId="77777777" w:rsidR="006C4D37" w:rsidRPr="00D859C2" w:rsidRDefault="006C4D37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5"/>
        <w:gridCol w:w="1001"/>
        <w:gridCol w:w="3799"/>
      </w:tblGrid>
      <w:tr w:rsidR="006222A8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22A27D32" w:rsidR="00094B12" w:rsidRPr="00D722DC" w:rsidRDefault="00094B12" w:rsidP="007C391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6222A8">
              <w:rPr>
                <w:sz w:val="22"/>
                <w:szCs w:val="22"/>
              </w:rPr>
              <w:t>Brně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6222A8">
              <w:rPr>
                <w:sz w:val="22"/>
                <w:szCs w:val="22"/>
              </w:rPr>
              <w:t xml:space="preserve"> </w:t>
            </w:r>
            <w:r w:rsidR="00C628CC">
              <w:rPr>
                <w:sz w:val="22"/>
                <w:szCs w:val="22"/>
              </w:rPr>
              <w:t>23. 5. 2025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4EA9A9C6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C628CC">
              <w:rPr>
                <w:sz w:val="22"/>
                <w:szCs w:val="22"/>
              </w:rPr>
              <w:t xml:space="preserve"> 27. 5. 2025</w:t>
            </w:r>
          </w:p>
        </w:tc>
      </w:tr>
      <w:tr w:rsidR="006222A8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6222A8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38C0D2F8" w:rsidR="00094B12" w:rsidRPr="006222A8" w:rsidRDefault="006222A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222A8">
              <w:rPr>
                <w:b/>
                <w:sz w:val="22"/>
                <w:szCs w:val="22"/>
              </w:rPr>
              <w:t>IRIDIUM spol. s r.o.</w:t>
            </w:r>
          </w:p>
          <w:p w14:paraId="17D23793" w14:textId="0C19480D" w:rsidR="00094B12" w:rsidRPr="006222A8" w:rsidRDefault="006222A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6222A8">
              <w:rPr>
                <w:sz w:val="22"/>
                <w:szCs w:val="22"/>
              </w:rPr>
              <w:t>Ing. Petr Výmola,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7C3917">
      <w:pPr>
        <w:spacing w:after="120" w:line="240" w:lineRule="auto"/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tbl>
      <w:tblPr>
        <w:tblW w:w="10490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656"/>
        <w:gridCol w:w="993"/>
        <w:gridCol w:w="1417"/>
        <w:gridCol w:w="1418"/>
        <w:gridCol w:w="1417"/>
        <w:gridCol w:w="1559"/>
      </w:tblGrid>
      <w:tr w:rsidR="007C3917" w:rsidRPr="007C3917" w14:paraId="4B2FBDE3" w14:textId="77777777" w:rsidTr="006C4D37">
        <w:trPr>
          <w:trHeight w:val="457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48D20C" w14:textId="77777777" w:rsidR="007C3917" w:rsidRPr="006C4D37" w:rsidRDefault="007C3917" w:rsidP="007C3917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Označení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br/>
              <w:t>položky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F0302" w14:textId="77777777" w:rsidR="007C3917" w:rsidRPr="006C4D37" w:rsidRDefault="007C3917" w:rsidP="007C3917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325BE" w14:textId="77777777" w:rsidR="007C3917" w:rsidRPr="006C4D37" w:rsidRDefault="007C3917" w:rsidP="007C39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 xml:space="preserve">počet kusů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9B9E79" w14:textId="77777777" w:rsidR="007C3917" w:rsidRPr="006C4D37" w:rsidRDefault="007C3917" w:rsidP="007C39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 xml:space="preserve">cena za kus bez DPH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1B677D" w14:textId="77777777" w:rsidR="007C3917" w:rsidRPr="006C4D37" w:rsidRDefault="007C3917" w:rsidP="007C39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cena celkem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br/>
              <w:t xml:space="preserve"> bez DPH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5E1707" w14:textId="77777777" w:rsidR="007C3917" w:rsidRPr="006C4D37" w:rsidRDefault="007C3917" w:rsidP="007C39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sz w:val="20"/>
                <w:szCs w:val="20"/>
              </w:rPr>
              <w:t>21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t xml:space="preserve"> % DPH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A6419A" w14:textId="77777777" w:rsidR="007C3917" w:rsidRPr="006C4D37" w:rsidRDefault="007C3917" w:rsidP="007C39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cena celkem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br/>
              <w:t xml:space="preserve"> vč. DPH </w:t>
            </w:r>
          </w:p>
        </w:tc>
      </w:tr>
      <w:tr w:rsidR="007C3917" w:rsidRPr="007C3917" w14:paraId="16E48B8A" w14:textId="77777777" w:rsidTr="006C4D37">
        <w:trPr>
          <w:trHeight w:val="359"/>
        </w:trPr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7A92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T2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2F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skříňka na dokumentaci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DB4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991E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1 350,00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EEF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2 700,00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3B4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567,00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45D8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3 267,00 Kč</w:t>
            </w:r>
          </w:p>
        </w:tc>
      </w:tr>
      <w:tr w:rsidR="007C3917" w:rsidRPr="007C3917" w14:paraId="77A789FC" w14:textId="77777777" w:rsidTr="006C4D37">
        <w:trPr>
          <w:trHeight w:val="261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267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43A1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Pult mezi pracovními stoly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505B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76DF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4 457,00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0B4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4 457,00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5F9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935,97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4907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5 392,97 Kč</w:t>
            </w:r>
          </w:p>
        </w:tc>
      </w:tr>
      <w:tr w:rsidR="007C3917" w:rsidRPr="007C3917" w14:paraId="29296E9A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82F1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T21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397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Horní skříňka, uzamykatelné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D1C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B47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7 844,00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925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7 844,00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096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1 647,24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52FD9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9 491,24 Kč</w:t>
            </w:r>
          </w:p>
        </w:tc>
      </w:tr>
      <w:tr w:rsidR="007C3917" w:rsidRPr="007C3917" w14:paraId="3AEF93E3" w14:textId="77777777" w:rsidTr="006C4D37">
        <w:trPr>
          <w:trHeight w:val="317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CA76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D367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Stůl sklopný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BA6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D1FF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1 273,00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CA13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8 911,00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1BB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1 871,31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7E2A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10 782,31 Kč</w:t>
            </w:r>
          </w:p>
        </w:tc>
      </w:tr>
      <w:tr w:rsidR="007C3917" w:rsidRPr="007C3917" w14:paraId="45B77C57" w14:textId="77777777" w:rsidTr="006C4D37">
        <w:trPr>
          <w:trHeight w:val="27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362C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T27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D22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Stůl pracovní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F34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3D2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5 093,00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54D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10 186,00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9B1E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2 139,06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08DAA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12 325,06 Kč</w:t>
            </w:r>
          </w:p>
        </w:tc>
      </w:tr>
      <w:tr w:rsidR="007C3917" w:rsidRPr="007C3917" w14:paraId="502F9747" w14:textId="77777777" w:rsidTr="006C4D37">
        <w:trPr>
          <w:trHeight w:val="26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2D2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T28B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5FE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Stůl jídelní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4BD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639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1 401,00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1AB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1 401,00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67A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294,21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B44EA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1 695,21 Kč</w:t>
            </w:r>
          </w:p>
        </w:tc>
      </w:tr>
      <w:tr w:rsidR="007C3917" w:rsidRPr="007C3917" w14:paraId="6DCF1950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991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34C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Skříň šatní s nadstavcem, uzamykatelná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395B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549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6 730,00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FA5A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53 840,00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0BD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11 306,40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DF2F9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65 146,40 Kč</w:t>
            </w:r>
          </w:p>
        </w:tc>
      </w:tr>
      <w:tr w:rsidR="007C3917" w:rsidRPr="007C3917" w14:paraId="54378CD4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09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T44.1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F4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Skříň šatní s nadstavcem, uzamykatelná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DE8A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3C5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6 685,00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624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20 055,00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E56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4 211,55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0D06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24 266,55 Kč</w:t>
            </w:r>
          </w:p>
        </w:tc>
      </w:tr>
      <w:tr w:rsidR="007C3917" w:rsidRPr="007C3917" w14:paraId="122AEC91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E8F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A39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 policová,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F35E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1BA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7 309,00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28C9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36 545,00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886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7 674,45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9C8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44 219,45 Kč</w:t>
            </w:r>
          </w:p>
        </w:tc>
      </w:tr>
      <w:tr w:rsidR="007C3917" w:rsidRPr="007C3917" w14:paraId="6BF33047" w14:textId="77777777" w:rsidTr="006C4D37">
        <w:trPr>
          <w:trHeight w:val="253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488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BE52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 šatní,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A03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CDB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9 040,00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8B6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9 040,00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9E2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1 898,40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40C93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10 938,40 Kč</w:t>
            </w:r>
          </w:p>
        </w:tc>
      </w:tr>
      <w:tr w:rsidR="007C3917" w:rsidRPr="007C3917" w14:paraId="26F25088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B91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98C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 policová,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AAE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FF3E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18 068,00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B2AE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18 068,00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B02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3 794,28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99411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21 862,28 Kč</w:t>
            </w:r>
          </w:p>
        </w:tc>
      </w:tr>
      <w:tr w:rsidR="007C3917" w:rsidRPr="007C3917" w14:paraId="41B3F506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2AA7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19D2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Policová skříň,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5E7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A3A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10 696,00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209F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10 696,00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320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2 246,16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E0E3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12 942,16 Kč</w:t>
            </w:r>
          </w:p>
        </w:tc>
      </w:tr>
      <w:tr w:rsidR="007C3917" w:rsidRPr="007C3917" w14:paraId="7FF65ABD" w14:textId="77777777" w:rsidTr="006C4D37">
        <w:trPr>
          <w:trHeight w:val="24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4F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T49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07A3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Box, uzamykatelný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701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8371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1 108,00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7D5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33 240,00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2CA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6 980,40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1B9E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40 220,40 Kč</w:t>
            </w:r>
          </w:p>
        </w:tc>
      </w:tr>
      <w:tr w:rsidR="007C3917" w:rsidRPr="007C3917" w14:paraId="395E70FE" w14:textId="77777777" w:rsidTr="006C4D37">
        <w:trPr>
          <w:trHeight w:val="31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F3D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151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 šatní,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A237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DDE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8 786,00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395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8 786,00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6DD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1 845,06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5AEC3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10 631,06 Kč</w:t>
            </w:r>
          </w:p>
        </w:tc>
      </w:tr>
      <w:tr w:rsidR="007C3917" w:rsidRPr="007C3917" w14:paraId="2DFB1E4B" w14:textId="77777777" w:rsidTr="006C4D37">
        <w:trPr>
          <w:trHeight w:val="293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9E4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T51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14F7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 šatní,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0AB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314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8 276,00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BBD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16 552,00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310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3 475,92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F5C7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20 027,92 Kč</w:t>
            </w:r>
          </w:p>
        </w:tc>
      </w:tr>
      <w:tr w:rsidR="007C3917" w:rsidRPr="007C3917" w14:paraId="66AA940D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DA7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T52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E14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Skříňka dolní, policová, uzamykatelná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BAC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D34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4 940,00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79A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4 940,00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93A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1 037,40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5FF9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5 977,40 Kč</w:t>
            </w:r>
          </w:p>
        </w:tc>
      </w:tr>
      <w:tr w:rsidR="007C3917" w:rsidRPr="007C3917" w14:paraId="5D44F085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94E9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T53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6E7C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Skříňka dolní, policová, uzamykatelná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B99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BA2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7 666,00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0FA9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15 332,00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B2F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3 219,72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A8F3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18 551,72 Kč</w:t>
            </w:r>
          </w:p>
        </w:tc>
      </w:tr>
      <w:tr w:rsidR="007C3917" w:rsidRPr="007C3917" w14:paraId="213AAF75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F95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T54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E623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Skříňka horní, policová,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8A88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57A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6 176,00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754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12 352,00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408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2 593,92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2C69F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14 945,92 Kč</w:t>
            </w:r>
          </w:p>
        </w:tc>
      </w:tr>
      <w:tr w:rsidR="007C3917" w:rsidRPr="007C3917" w14:paraId="44882804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258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T62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7D0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 policová, posuvné dveře,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B58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3E4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14 197,00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3CA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28 394,00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AD1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5 962,74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9C7F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34 356,74 Kč</w:t>
            </w:r>
          </w:p>
        </w:tc>
      </w:tr>
      <w:tr w:rsidR="007C3917" w:rsidRPr="007C3917" w14:paraId="6598577C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586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T63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E7E1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Skříňka horní, policová,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02F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9C7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6 659,00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DC8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6 659,00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9C0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1 398,39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49DDA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8 057,39 Kč</w:t>
            </w:r>
          </w:p>
        </w:tc>
      </w:tr>
      <w:tr w:rsidR="007C3917" w:rsidRPr="007C3917" w14:paraId="3AC73344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F18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T64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968A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Skříňky horní, policová,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62A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6E6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20 245,00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CB7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20 245,00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C6A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4 251,45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4DB2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24 496,45 Kč</w:t>
            </w:r>
          </w:p>
        </w:tc>
      </w:tr>
      <w:tr w:rsidR="007C3917" w:rsidRPr="007C3917" w14:paraId="1A2AAE5F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CFA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 xml:space="preserve">T65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FB0F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Skříňky horní, policová, uzamykatelná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36AE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8EF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7 041,00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BCA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7 041,00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D566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1 478,61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D6579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8 519,61 Kč</w:t>
            </w:r>
          </w:p>
        </w:tc>
      </w:tr>
      <w:tr w:rsidR="007C3917" w:rsidRPr="007C3917" w14:paraId="42A3506F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D10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T66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4C0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Kontejner pojízdný, 4 zásuvky, uzamykatelný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8FFD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DFB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4 839,00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0ED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29 034,00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CB8E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6 097,14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B003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35 131,14 Kč</w:t>
            </w:r>
          </w:p>
        </w:tc>
      </w:tr>
      <w:tr w:rsidR="007C3917" w:rsidRPr="007C3917" w14:paraId="4A5922D7" w14:textId="77777777" w:rsidTr="006C4D37">
        <w:trPr>
          <w:trHeight w:val="337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D1A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T67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9BB3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Stůl pracovní včetně pultu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725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965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6 367,00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A441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12 734,00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0AA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2 674,14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BCB7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15 408,14 Kč</w:t>
            </w:r>
          </w:p>
        </w:tc>
      </w:tr>
      <w:tr w:rsidR="007C3917" w:rsidRPr="007C3917" w14:paraId="0B14F0BA" w14:textId="77777777" w:rsidTr="006C4D37">
        <w:trPr>
          <w:trHeight w:val="213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7C0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T68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8C8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Stůl pracovní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E660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C2E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5 093,00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AD9A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10 186,00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CCE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2 139,06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3941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12 325,06 Kč</w:t>
            </w:r>
          </w:p>
        </w:tc>
      </w:tr>
      <w:tr w:rsidR="007C3917" w:rsidRPr="007C3917" w14:paraId="62ED20C8" w14:textId="77777777" w:rsidTr="006C4D37">
        <w:trPr>
          <w:trHeight w:val="25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D627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T71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740E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Police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76A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4E8B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764,00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E69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1 528,00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FC4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320,88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23BCE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1 848,88 Kč</w:t>
            </w:r>
          </w:p>
        </w:tc>
      </w:tr>
      <w:tr w:rsidR="007C3917" w:rsidRPr="007C3917" w14:paraId="17FCCE7B" w14:textId="77777777" w:rsidTr="006C4D37">
        <w:trPr>
          <w:trHeight w:val="33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756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T72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5EC3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Odkládací stěna na oděvy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753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E7F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2 037,00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B0C5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4 074,00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6A14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855,54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66C7D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4 929,54 Kč</w:t>
            </w:r>
          </w:p>
        </w:tc>
      </w:tr>
      <w:tr w:rsidR="007C3917" w:rsidRPr="007C3917" w14:paraId="4E6B2727" w14:textId="77777777" w:rsidTr="006C4D37">
        <w:trPr>
          <w:trHeight w:val="4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AB5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T73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CA2B" w14:textId="77777777" w:rsidR="007C3917" w:rsidRPr="006C4D37" w:rsidRDefault="007C3917" w:rsidP="007C391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Lavice na kovových nožkách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BA59" w14:textId="77777777" w:rsidR="007C3917" w:rsidRPr="006C4D37" w:rsidRDefault="007C3917" w:rsidP="007C39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D3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C34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2 547,00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01B7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5 094,00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B1C8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1 069,74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C1980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6 163,74 Kč</w:t>
            </w:r>
          </w:p>
        </w:tc>
      </w:tr>
      <w:tr w:rsidR="007C3917" w:rsidRPr="007C3917" w14:paraId="4FDA76F4" w14:textId="77777777" w:rsidTr="006C4D37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9B60" w14:textId="77777777" w:rsidR="007C3917" w:rsidRPr="006C4D37" w:rsidRDefault="007C3917" w:rsidP="007C3917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 </w:t>
            </w:r>
          </w:p>
          <w:p w14:paraId="018900DD" w14:textId="7DCE893D" w:rsidR="007C3917" w:rsidRPr="006C4D37" w:rsidRDefault="007C3917" w:rsidP="007C391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C4D37">
              <w:rPr>
                <w:b/>
                <w:bCs/>
                <w:sz w:val="20"/>
                <w:szCs w:val="20"/>
              </w:rPr>
              <w:t>CELKEM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0DC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37911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186 687,00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4884AD5" w14:textId="77777777" w:rsidR="007C3917" w:rsidRPr="006C4D37" w:rsidRDefault="007C3917" w:rsidP="007C3917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399 934,00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960F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83 986,14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89EA2" w14:textId="77777777" w:rsidR="007C3917" w:rsidRPr="006C4D37" w:rsidRDefault="007C3917" w:rsidP="007C39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483 920,14 Kč</w:t>
            </w:r>
          </w:p>
        </w:tc>
      </w:tr>
    </w:tbl>
    <w:p w14:paraId="139CD13C" w14:textId="3166CF57" w:rsidR="00A05D45" w:rsidRPr="00A05D45" w:rsidRDefault="00A05D45" w:rsidP="007C3917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C628CC" w:rsidRPr="00C628CC">
          <w:rPr>
            <w:rFonts w:ascii="Arial" w:hAnsi="Arial"/>
            <w:noProof/>
            <w:sz w:val="20"/>
            <w:lang w:val="cs-CZ"/>
          </w:rPr>
          <w:t>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A3EAB" w14:textId="3E15D080" w:rsidR="00831C39" w:rsidRDefault="00831C39">
    <w:pPr>
      <w:pStyle w:val="Zhlav"/>
      <w:rPr>
        <w:lang w:val="cs-CZ"/>
      </w:rPr>
    </w:pPr>
    <w:r>
      <w:tab/>
    </w:r>
    <w:r>
      <w:tab/>
    </w:r>
    <w:r>
      <w:rPr>
        <w:lang w:val="cs-CZ"/>
      </w:rPr>
      <w:t xml:space="preserve">P25V00000202  </w:t>
    </w:r>
  </w:p>
  <w:p w14:paraId="5DA74A25" w14:textId="2D369630" w:rsidR="009A7600" w:rsidRPr="00831C39" w:rsidRDefault="009A7600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KP/2109/2025/</w:t>
    </w:r>
    <w:proofErr w:type="spellStart"/>
    <w:r>
      <w:rPr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C3BD2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A654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C24EC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22A8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4D37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4CF4"/>
    <w:rsid w:val="00787C20"/>
    <w:rsid w:val="00794661"/>
    <w:rsid w:val="0079592F"/>
    <w:rsid w:val="007A084F"/>
    <w:rsid w:val="007A70F3"/>
    <w:rsid w:val="007C2A6B"/>
    <w:rsid w:val="007C3917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1C39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57B9F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600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18DC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1879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C7223"/>
    <w:rsid w:val="00BD06AB"/>
    <w:rsid w:val="00BD0B30"/>
    <w:rsid w:val="00BE2371"/>
    <w:rsid w:val="00BF526F"/>
    <w:rsid w:val="00BF5838"/>
    <w:rsid w:val="00BF65B9"/>
    <w:rsid w:val="00BF6761"/>
    <w:rsid w:val="00BF750F"/>
    <w:rsid w:val="00C006A4"/>
    <w:rsid w:val="00C142B5"/>
    <w:rsid w:val="00C1447C"/>
    <w:rsid w:val="00C2515A"/>
    <w:rsid w:val="00C268BD"/>
    <w:rsid w:val="00C2727E"/>
    <w:rsid w:val="00C27F0F"/>
    <w:rsid w:val="00C342FE"/>
    <w:rsid w:val="00C40168"/>
    <w:rsid w:val="00C61AD5"/>
    <w:rsid w:val="00C61C6C"/>
    <w:rsid w:val="00C628C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7A3C9-1E25-4D74-9BD8-3F6ECBA2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4381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8</cp:revision>
  <cp:lastPrinted>2025-04-22T06:51:00Z</cp:lastPrinted>
  <dcterms:created xsi:type="dcterms:W3CDTF">2025-04-28T08:53:00Z</dcterms:created>
  <dcterms:modified xsi:type="dcterms:W3CDTF">2025-05-28T07:19:00Z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