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9D095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14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9D095A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14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763F9F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763F9F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92E56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6D6443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5608FE" w:rsidRPr="002005CA" w:rsidRDefault="005608FE" w:rsidP="009D095A">
      <w:pPr>
        <w:tabs>
          <w:tab w:val="left" w:pos="2694"/>
        </w:tabs>
        <w:ind w:left="709" w:hanging="709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proofErr w:type="gramStart"/>
      <w:r w:rsidR="009D095A" w:rsidRPr="009D095A">
        <w:rPr>
          <w:rStyle w:val="tsubjname"/>
          <w:rFonts w:ascii="Garamond" w:hAnsi="Garamond"/>
          <w:b/>
        </w:rPr>
        <w:t>Ledovec, z. s.</w:t>
      </w:r>
      <w:proofErr w:type="gramEnd"/>
    </w:p>
    <w:p w:rsidR="005608FE" w:rsidRDefault="005608FE" w:rsidP="005608FE">
      <w:pPr>
        <w:tabs>
          <w:tab w:val="left" w:pos="2700"/>
        </w:tabs>
        <w:rPr>
          <w:rFonts w:ascii="Garamond" w:hAnsi="Garamond"/>
        </w:rPr>
      </w:pPr>
      <w:r w:rsidRPr="00587D55">
        <w:rPr>
          <w:rFonts w:ascii="Garamond" w:hAnsi="Garamond"/>
          <w:color w:val="000000"/>
        </w:rPr>
        <w:t>Právní forma:</w:t>
      </w:r>
      <w:r w:rsidRPr="00587D55">
        <w:rPr>
          <w:color w:val="000000"/>
        </w:rPr>
        <w:tab/>
      </w:r>
      <w:r w:rsidRPr="00BF7B57">
        <w:rPr>
          <w:rFonts w:ascii="Garamond" w:hAnsi="Garamond"/>
        </w:rPr>
        <w:t xml:space="preserve">spolek, zapsaný Krajským soudem v Plzni, oddíl L, vložka </w:t>
      </w:r>
      <w:r>
        <w:rPr>
          <w:rFonts w:ascii="Garamond" w:hAnsi="Garamond"/>
        </w:rPr>
        <w:t>31</w:t>
      </w:r>
      <w:r w:rsidR="009D095A">
        <w:rPr>
          <w:rFonts w:ascii="Garamond" w:hAnsi="Garamond"/>
        </w:rPr>
        <w:t>45</w:t>
      </w:r>
      <w:r w:rsidRPr="00C911A7">
        <w:rPr>
          <w:rFonts w:ascii="Garamond" w:hAnsi="Garamond"/>
        </w:rPr>
        <w:t xml:space="preserve"> </w:t>
      </w:r>
    </w:p>
    <w:p w:rsidR="005608FE" w:rsidRPr="0068399C" w:rsidRDefault="005608FE" w:rsidP="005608FE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proofErr w:type="gramStart"/>
      <w:r w:rsidR="009D095A" w:rsidRPr="009D095A">
        <w:rPr>
          <w:rFonts w:ascii="Garamond" w:hAnsi="Garamond"/>
        </w:rPr>
        <w:t>č.p.</w:t>
      </w:r>
      <w:proofErr w:type="gramEnd"/>
      <w:r w:rsidR="009D095A" w:rsidRPr="009D095A">
        <w:rPr>
          <w:rFonts w:ascii="Garamond" w:hAnsi="Garamond"/>
        </w:rPr>
        <w:t xml:space="preserve"> 1, 330 14 Ledce</w:t>
      </w:r>
    </w:p>
    <w:p w:rsidR="005608FE" w:rsidRPr="0068399C" w:rsidRDefault="005608FE" w:rsidP="005608FE">
      <w:pPr>
        <w:tabs>
          <w:tab w:val="left" w:pos="2700"/>
        </w:tabs>
        <w:rPr>
          <w:rFonts w:ascii="Garamond" w:hAnsi="Garamond"/>
        </w:rPr>
      </w:pPr>
      <w:r>
        <w:rPr>
          <w:rFonts w:ascii="Garamond" w:hAnsi="Garamond"/>
        </w:rPr>
        <w:t>I</w:t>
      </w:r>
      <w:r w:rsidRPr="00BF7B57">
        <w:rPr>
          <w:rFonts w:ascii="Garamond" w:hAnsi="Garamond"/>
        </w:rPr>
        <w:t>Č</w:t>
      </w:r>
      <w:r w:rsidR="002005CA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9D095A" w:rsidRPr="009D095A">
        <w:rPr>
          <w:rFonts w:ascii="Garamond" w:hAnsi="Garamond"/>
        </w:rPr>
        <w:t>26517051</w:t>
      </w:r>
    </w:p>
    <w:p w:rsidR="005608FE" w:rsidRPr="00F73475" w:rsidRDefault="005608FE" w:rsidP="005608FE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5608FE" w:rsidRDefault="005608FE" w:rsidP="005608FE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608FE" w:rsidRDefault="005608FE" w:rsidP="005608FE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9D095A">
        <w:rPr>
          <w:rFonts w:ascii="Garamond" w:hAnsi="Garamond"/>
          <w:b/>
        </w:rPr>
        <w:t>M</w:t>
      </w:r>
      <w:r>
        <w:rPr>
          <w:rFonts w:ascii="Garamond" w:hAnsi="Garamond"/>
          <w:b/>
        </w:rPr>
        <w:t>g</w:t>
      </w:r>
      <w:r w:rsidR="009D095A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. </w:t>
      </w:r>
      <w:r w:rsidR="009D095A">
        <w:rPr>
          <w:rFonts w:ascii="Garamond" w:hAnsi="Garamond"/>
          <w:b/>
        </w:rPr>
        <w:t xml:space="preserve">Petrem </w:t>
      </w:r>
      <w:proofErr w:type="spellStart"/>
      <w:r w:rsidR="009D095A">
        <w:rPr>
          <w:rFonts w:ascii="Garamond" w:hAnsi="Garamond"/>
          <w:b/>
        </w:rPr>
        <w:t>Hubínkem</w:t>
      </w:r>
      <w:proofErr w:type="spellEnd"/>
      <w:r w:rsidRPr="00203694">
        <w:rPr>
          <w:rFonts w:ascii="Garamond" w:hAnsi="Garamond"/>
        </w:rPr>
        <w:t>,</w:t>
      </w:r>
      <w:r w:rsidR="009D095A">
        <w:rPr>
          <w:rFonts w:ascii="Garamond" w:hAnsi="Garamond"/>
        </w:rPr>
        <w:t xml:space="preserve"> ředitelem</w:t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847A3E">
        <w:rPr>
          <w:rFonts w:ascii="Garamond" w:hAnsi="Garamond"/>
        </w:rPr>
        <w:t>Zastupitelstva</w:t>
      </w:r>
      <w:r w:rsidR="00535E0F">
        <w:rPr>
          <w:rFonts w:ascii="Garamond" w:hAnsi="Garamond"/>
        </w:rPr>
        <w:t xml:space="preserve"> města Plzně č. </w:t>
      </w:r>
      <w:r w:rsidR="00CD28BA">
        <w:rPr>
          <w:rFonts w:ascii="Garamond" w:hAnsi="Garamond"/>
        </w:rPr>
        <w:t>2</w:t>
      </w:r>
      <w:r w:rsidR="00847A3E">
        <w:rPr>
          <w:rFonts w:ascii="Garamond" w:hAnsi="Garamond"/>
        </w:rPr>
        <w:t>27</w:t>
      </w:r>
      <w:r w:rsidR="00535E0F">
        <w:rPr>
          <w:rFonts w:ascii="Garamond" w:hAnsi="Garamond"/>
        </w:rPr>
        <w:t xml:space="preserve"> ze dne </w:t>
      </w:r>
      <w:r w:rsidR="008B050C">
        <w:rPr>
          <w:rFonts w:ascii="Garamond" w:hAnsi="Garamond"/>
        </w:rPr>
        <w:t>2</w:t>
      </w:r>
      <w:r w:rsidR="00847A3E">
        <w:rPr>
          <w:rFonts w:ascii="Garamond" w:hAnsi="Garamond"/>
        </w:rPr>
        <w:t>5</w:t>
      </w:r>
      <w:r w:rsidR="00535E0F">
        <w:rPr>
          <w:rFonts w:ascii="Garamond" w:hAnsi="Garamond"/>
        </w:rPr>
        <w:t xml:space="preserve">. </w:t>
      </w:r>
      <w:r w:rsidR="00CD28BA">
        <w:rPr>
          <w:rFonts w:ascii="Garamond" w:hAnsi="Garamond"/>
        </w:rPr>
        <w:t>května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847A3E">
        <w:rPr>
          <w:rFonts w:ascii="Garamond" w:hAnsi="Garamond"/>
        </w:rPr>
        <w:t xml:space="preserve"> tuto </w:t>
      </w:r>
      <w:r w:rsidR="005C0988">
        <w:rPr>
          <w:rFonts w:ascii="Garamond" w:hAnsi="Garamond"/>
        </w:rPr>
        <w:t>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proofErr w:type="spellStart"/>
      <w:r w:rsidR="005C0988">
        <w:rPr>
          <w:rFonts w:ascii="Garamond" w:hAnsi="Garamond"/>
        </w:rPr>
        <w:t>Mikrogranty</w:t>
      </w:r>
      <w:proofErr w:type="spellEnd"/>
      <w:r w:rsidR="005C0988">
        <w:rPr>
          <w:rFonts w:ascii="Garamond" w:hAnsi="Garamond"/>
        </w:rPr>
        <w:t xml:space="preserve">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763F9F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0847C2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0847C2" w:rsidRPr="000847C2">
        <w:rPr>
          <w:rFonts w:ascii="Garamond" w:hAnsi="Garamond"/>
          <w:b/>
          <w:color w:val="000000"/>
        </w:rPr>
        <w:t>Dny pro duševní zdraví 2017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B6742A">
        <w:rPr>
          <w:rFonts w:ascii="Garamond" w:hAnsi="Garamond"/>
          <w:b/>
          <w:bCs/>
        </w:rPr>
        <w:t>1</w:t>
      </w:r>
      <w:r w:rsidR="006E2C08">
        <w:rPr>
          <w:rFonts w:ascii="Garamond" w:hAnsi="Garamond"/>
          <w:b/>
          <w:bCs/>
        </w:rPr>
        <w:t>5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EC5CFC">
        <w:rPr>
          <w:rFonts w:ascii="Garamond" w:hAnsi="Garamond"/>
          <w:i/>
          <w:iCs/>
        </w:rPr>
        <w:t>:</w:t>
      </w:r>
      <w:r w:rsidR="00E252A0">
        <w:rPr>
          <w:rFonts w:ascii="Garamond" w:hAnsi="Garamond"/>
          <w:i/>
          <w:iCs/>
        </w:rPr>
        <w:t xml:space="preserve"> </w:t>
      </w:r>
      <w:r w:rsidR="006E2C08">
        <w:rPr>
          <w:rFonts w:ascii="Garamond" w:hAnsi="Garamond"/>
          <w:i/>
          <w:iCs/>
        </w:rPr>
        <w:t>patnác</w:t>
      </w:r>
      <w:r w:rsidR="00625807">
        <w:rPr>
          <w:rFonts w:ascii="Garamond" w:hAnsi="Garamond"/>
          <w:i/>
          <w:iCs/>
        </w:rPr>
        <w:t>t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763F9F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3F057E">
        <w:rPr>
          <w:rFonts w:ascii="Garamond" w:hAnsi="Garamond"/>
        </w:rPr>
        <w:t>led</w:t>
      </w:r>
      <w:r w:rsidRPr="00095905">
        <w:rPr>
          <w:rFonts w:ascii="Garamond" w:hAnsi="Garamond"/>
        </w:rPr>
        <w:t>n</w:t>
      </w:r>
      <w:r w:rsidR="002E7F12">
        <w:rPr>
          <w:rFonts w:ascii="Garamond" w:hAnsi="Garamond"/>
        </w:rPr>
        <w:t>a</w:t>
      </w:r>
      <w:r w:rsidR="00964D40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2A18C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D75586">
        <w:rPr>
          <w:rFonts w:ascii="Garamond" w:hAnsi="Garamond"/>
        </w:rPr>
        <w:t>prosi</w:t>
      </w:r>
      <w:r w:rsidR="002A18CF">
        <w:rPr>
          <w:rFonts w:ascii="Garamond" w:hAnsi="Garamond"/>
        </w:rPr>
        <w:t>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293FA0">
        <w:rPr>
          <w:rFonts w:ascii="Garamond" w:hAnsi="Garamond"/>
        </w:rPr>
        <w:t>14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proofErr w:type="spellStart"/>
      <w:r w:rsidR="00535E0F" w:rsidRPr="006D6443">
        <w:rPr>
          <w:rFonts w:ascii="Garamond" w:hAnsi="Garamond"/>
        </w:rPr>
        <w:t>Mikrogranty</w:t>
      </w:r>
      <w:proofErr w:type="spellEnd"/>
      <w:r w:rsidR="00535E0F" w:rsidRPr="006D6443">
        <w:rPr>
          <w:rFonts w:ascii="Garamond" w:hAnsi="Garamond"/>
        </w:rPr>
        <w:t xml:space="preserve">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</w:t>
      </w:r>
      <w:proofErr w:type="gramStart"/>
      <w:r w:rsidRPr="006D6443">
        <w:rPr>
          <w:rFonts w:ascii="Garamond" w:hAnsi="Garamond"/>
          <w:i/>
        </w:rPr>
        <w:t xml:space="preserve">č. 2 </w:t>
      </w:r>
      <w:r w:rsidR="00535E0F" w:rsidRPr="006D6443">
        <w:rPr>
          <w:rFonts w:ascii="Garamond" w:hAnsi="Garamond"/>
        </w:rPr>
        <w:t>této</w:t>
      </w:r>
      <w:proofErr w:type="gramEnd"/>
      <w:r w:rsidR="00535E0F" w:rsidRPr="006D6443">
        <w:rPr>
          <w:rFonts w:ascii="Garamond" w:hAnsi="Garamond"/>
        </w:rPr>
        <w:t xml:space="preserve">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763F9F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BC352B">
        <w:rPr>
          <w:rFonts w:ascii="Garamond" w:hAnsi="Garamond"/>
          <w:b/>
        </w:rPr>
        <w:t>října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763F9F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D75586">
        <w:rPr>
          <w:rFonts w:ascii="Garamond" w:hAnsi="Garamond"/>
          <w:sz w:val="24"/>
          <w:szCs w:val="24"/>
        </w:rPr>
        <w:t>prosin</w:t>
      </w:r>
      <w:r w:rsidR="008F4FA6">
        <w:rPr>
          <w:rFonts w:ascii="Garamond" w:hAnsi="Garamond"/>
          <w:sz w:val="24"/>
          <w:szCs w:val="24"/>
        </w:rPr>
        <w:t>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lastRenderedPageBreak/>
        <w:t xml:space="preserve">na základě rozhodnutí Evropské komise podle čl. VI. odst. </w:t>
      </w:r>
      <w:r w:rsidR="0038561C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  <w:bookmarkStart w:id="0" w:name="_GoBack"/>
      <w:bookmarkEnd w:id="0"/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zadržení finančních prostředků ve 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 ………………</w:t>
      </w:r>
      <w:proofErr w:type="gramStart"/>
      <w:r w:rsidR="00553E35" w:rsidRPr="00F73475">
        <w:rPr>
          <w:rFonts w:ascii="Garamond" w:hAnsi="Garamond"/>
        </w:rPr>
        <w:t>…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……………………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2005CA" w:rsidRPr="00F73475" w:rsidRDefault="002005CA" w:rsidP="002005CA">
      <w:pPr>
        <w:tabs>
          <w:tab w:val="center" w:pos="198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       </w:t>
      </w:r>
      <w:proofErr w:type="gramStart"/>
      <w:r>
        <w:rPr>
          <w:rFonts w:ascii="Garamond" w:hAnsi="Garamond"/>
        </w:rPr>
        <w:t xml:space="preserve">_________________________                                    </w:t>
      </w:r>
      <w:r w:rsidRPr="00F73475">
        <w:rPr>
          <w:rFonts w:ascii="Garamond" w:hAnsi="Garamond"/>
        </w:rPr>
        <w:t>__________________________</w:t>
      </w:r>
      <w:proofErr w:type="gramEnd"/>
      <w:r w:rsidRPr="00F73475">
        <w:rPr>
          <w:rFonts w:ascii="Garamond" w:hAnsi="Garamond"/>
        </w:rPr>
        <w:t xml:space="preserve"> </w:t>
      </w:r>
    </w:p>
    <w:p w:rsidR="002005CA" w:rsidRPr="00D24D60" w:rsidRDefault="002005CA" w:rsidP="002005CA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>
        <w:rPr>
          <w:rFonts w:ascii="Garamond" w:hAnsi="Garamond"/>
          <w:b/>
          <w:bCs/>
          <w:i/>
          <w:iCs/>
        </w:rPr>
        <w:t xml:space="preserve">                 </w:t>
      </w:r>
      <w:r>
        <w:rPr>
          <w:rFonts w:ascii="Garamond" w:hAnsi="Garamond"/>
          <w:b/>
          <w:bCs/>
          <w:iCs/>
        </w:rPr>
        <w:t xml:space="preserve">Mgr. Martin </w:t>
      </w:r>
      <w:proofErr w:type="gramStart"/>
      <w:r>
        <w:rPr>
          <w:rFonts w:ascii="Garamond" w:hAnsi="Garamond"/>
          <w:b/>
          <w:bCs/>
          <w:iCs/>
        </w:rPr>
        <w:t xml:space="preserve">Baxa                                                 </w:t>
      </w:r>
      <w:r w:rsidR="008E2178">
        <w:rPr>
          <w:rFonts w:ascii="Garamond" w:hAnsi="Garamond"/>
          <w:b/>
          <w:bCs/>
          <w:iCs/>
        </w:rPr>
        <w:t xml:space="preserve"> </w:t>
      </w:r>
      <w:r w:rsidR="00FC46B4">
        <w:rPr>
          <w:rFonts w:ascii="Garamond" w:hAnsi="Garamond"/>
          <w:b/>
          <w:bCs/>
          <w:iCs/>
        </w:rPr>
        <w:t xml:space="preserve"> </w:t>
      </w:r>
      <w:r w:rsidR="005568BD">
        <w:rPr>
          <w:rFonts w:ascii="Garamond" w:hAnsi="Garamond"/>
          <w:b/>
          <w:bCs/>
          <w:iCs/>
        </w:rPr>
        <w:t xml:space="preserve">  </w:t>
      </w:r>
      <w:r w:rsidR="0073708B">
        <w:rPr>
          <w:rFonts w:ascii="Garamond" w:hAnsi="Garamond"/>
          <w:b/>
          <w:bCs/>
          <w:iCs/>
        </w:rPr>
        <w:t xml:space="preserve"> </w:t>
      </w:r>
      <w:r w:rsidR="009D095A">
        <w:rPr>
          <w:rFonts w:ascii="Garamond" w:hAnsi="Garamond"/>
          <w:b/>
        </w:rPr>
        <w:t>Mgr.</w:t>
      </w:r>
      <w:proofErr w:type="gramEnd"/>
      <w:r w:rsidR="009D095A">
        <w:rPr>
          <w:rFonts w:ascii="Garamond" w:hAnsi="Garamond"/>
          <w:b/>
        </w:rPr>
        <w:t xml:space="preserve"> Petr </w:t>
      </w:r>
      <w:proofErr w:type="spellStart"/>
      <w:r w:rsidR="009D095A">
        <w:rPr>
          <w:rFonts w:ascii="Garamond" w:hAnsi="Garamond"/>
          <w:b/>
        </w:rPr>
        <w:t>Hubínek</w:t>
      </w:r>
      <w:proofErr w:type="spellEnd"/>
      <w:r>
        <w:rPr>
          <w:rFonts w:ascii="Garamond" w:hAnsi="Garamond"/>
          <w:b/>
          <w:bCs/>
          <w:iCs/>
        </w:rPr>
        <w:t xml:space="preserve"> </w:t>
      </w:r>
      <w:r w:rsidRPr="00855A8D">
        <w:rPr>
          <w:rFonts w:ascii="Garamond" w:hAnsi="Garamond"/>
          <w:bCs/>
          <w:iCs/>
        </w:rPr>
        <w:t xml:space="preserve"> </w:t>
      </w:r>
    </w:p>
    <w:p w:rsidR="002005CA" w:rsidRPr="00F73475" w:rsidRDefault="002005CA" w:rsidP="002005CA">
      <w:pPr>
        <w:tabs>
          <w:tab w:val="center" w:pos="1980"/>
          <w:tab w:val="center" w:pos="7740"/>
          <w:tab w:val="center" w:pos="8080"/>
        </w:tabs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 xml:space="preserve">       </w:t>
      </w:r>
      <w:r w:rsidR="009D095A">
        <w:rPr>
          <w:rFonts w:ascii="Garamond" w:hAnsi="Garamond"/>
          <w:b/>
          <w:bCs/>
          <w:i/>
          <w:iCs/>
        </w:rPr>
        <w:t xml:space="preserve"> </w:t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</w:t>
      </w:r>
      <w:proofErr w:type="gramStart"/>
      <w:r>
        <w:rPr>
          <w:rFonts w:ascii="Garamond" w:hAnsi="Garamond"/>
          <w:i/>
          <w:iCs/>
        </w:rPr>
        <w:t xml:space="preserve">Plzně                                                     </w:t>
      </w:r>
      <w:r w:rsidR="003C6316">
        <w:rPr>
          <w:rFonts w:ascii="Garamond" w:hAnsi="Garamond"/>
          <w:i/>
          <w:iCs/>
        </w:rPr>
        <w:t xml:space="preserve"> </w:t>
      </w:r>
      <w:r w:rsidR="009D095A">
        <w:rPr>
          <w:rFonts w:ascii="Garamond" w:hAnsi="Garamond"/>
          <w:i/>
          <w:iCs/>
        </w:rPr>
        <w:t xml:space="preserve"> </w:t>
      </w:r>
      <w:r w:rsidR="0073708B">
        <w:rPr>
          <w:rFonts w:ascii="Garamond" w:hAnsi="Garamond"/>
          <w:i/>
          <w:iCs/>
        </w:rPr>
        <w:t xml:space="preserve"> </w:t>
      </w:r>
      <w:r w:rsidR="00DB3002">
        <w:rPr>
          <w:rFonts w:ascii="Garamond" w:hAnsi="Garamond"/>
          <w:i/>
          <w:iCs/>
        </w:rPr>
        <w:t xml:space="preserve">  </w:t>
      </w:r>
      <w:r w:rsidR="007D31D0">
        <w:rPr>
          <w:rFonts w:ascii="Garamond" w:hAnsi="Garamond"/>
          <w:i/>
          <w:iCs/>
        </w:rPr>
        <w:t xml:space="preserve">   </w:t>
      </w:r>
      <w:r w:rsidR="009D095A">
        <w:rPr>
          <w:rFonts w:ascii="Garamond" w:hAnsi="Garamond"/>
          <w:i/>
        </w:rPr>
        <w:t>ředitel</w:t>
      </w:r>
      <w:proofErr w:type="gramEnd"/>
    </w:p>
    <w:p w:rsidR="002005CA" w:rsidRPr="009D095A" w:rsidRDefault="002005CA" w:rsidP="002005CA">
      <w:pPr>
        <w:tabs>
          <w:tab w:val="center" w:pos="1980"/>
          <w:tab w:val="center" w:pos="7740"/>
        </w:tabs>
        <w:jc w:val="both"/>
        <w:rPr>
          <w:rStyle w:val="tsubjname"/>
          <w:rFonts w:ascii="Garamond" w:hAnsi="Garamond"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</w:r>
      <w:r w:rsidR="009D095A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 xml:space="preserve">Plzeň, </w:t>
      </w:r>
      <w:r w:rsidR="009D095A">
        <w:rPr>
          <w:rFonts w:ascii="Garamond" w:hAnsi="Garamond"/>
        </w:rPr>
        <w:t xml:space="preserve">statutární město                                                       </w:t>
      </w:r>
      <w:r w:rsidR="005568BD">
        <w:rPr>
          <w:rFonts w:ascii="Garamond" w:hAnsi="Garamond"/>
        </w:rPr>
        <w:t xml:space="preserve"> </w:t>
      </w:r>
      <w:r w:rsidR="0073708B">
        <w:rPr>
          <w:rFonts w:ascii="Garamond" w:hAnsi="Garamond"/>
        </w:rPr>
        <w:t xml:space="preserve"> </w:t>
      </w:r>
      <w:r w:rsidR="00DB3002">
        <w:rPr>
          <w:rFonts w:ascii="Garamond" w:hAnsi="Garamond"/>
        </w:rPr>
        <w:t xml:space="preserve">  </w:t>
      </w:r>
      <w:proofErr w:type="gramStart"/>
      <w:r w:rsidR="009D095A" w:rsidRPr="009D095A">
        <w:rPr>
          <w:rStyle w:val="tsubjname"/>
          <w:rFonts w:ascii="Garamond" w:hAnsi="Garamond"/>
        </w:rPr>
        <w:t>Ledovec, z. s.</w:t>
      </w:r>
      <w:proofErr w:type="gramEnd"/>
    </w:p>
    <w:p w:rsidR="002005CA" w:rsidRPr="00D24D60" w:rsidRDefault="002005CA" w:rsidP="002005CA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Style w:val="tsubjname"/>
          <w:rFonts w:ascii="Garamond" w:hAnsi="Garamond"/>
        </w:rPr>
        <w:tab/>
        <w:t xml:space="preserve">                                                                                             </w:t>
      </w:r>
      <w:r w:rsidR="001B1227">
        <w:rPr>
          <w:rStyle w:val="tsubjname"/>
          <w:rFonts w:ascii="Garamond" w:hAnsi="Garamond"/>
        </w:rPr>
        <w:t xml:space="preserve"> </w:t>
      </w:r>
      <w:r w:rsidR="008E2178">
        <w:rPr>
          <w:rStyle w:val="tsubjname"/>
          <w:rFonts w:ascii="Garamond" w:hAnsi="Garamond"/>
        </w:rPr>
        <w:t xml:space="preserve"> </w:t>
      </w:r>
      <w:r w:rsidR="00DA4196">
        <w:rPr>
          <w:rStyle w:val="tsubjname"/>
          <w:rFonts w:ascii="Garamond" w:hAnsi="Garamond"/>
        </w:rPr>
        <w:t xml:space="preserve"> </w:t>
      </w:r>
    </w:p>
    <w:p w:rsidR="008F4FA6" w:rsidRPr="00E11D27" w:rsidRDefault="008F4FA6" w:rsidP="00BC05A9">
      <w:pPr>
        <w:tabs>
          <w:tab w:val="center" w:pos="1980"/>
          <w:tab w:val="center" w:pos="7740"/>
        </w:tabs>
        <w:rPr>
          <w:rFonts w:ascii="Garamond" w:hAnsi="Garamond"/>
          <w:bCs/>
        </w:rPr>
      </w:pPr>
    </w:p>
    <w:sectPr w:rsidR="008F4FA6" w:rsidRPr="00E11D27" w:rsidSect="00D225BE">
      <w:headerReference w:type="default" r:id="rId10"/>
      <w:footerReference w:type="default" r:id="rId11"/>
      <w:pgSz w:w="11906" w:h="16838" w:code="9"/>
      <w:pgMar w:top="1418" w:right="1134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1" w:rsidRDefault="00E30C51" w:rsidP="00AB7989">
      <w:r>
        <w:separator/>
      </w:r>
    </w:p>
  </w:endnote>
  <w:endnote w:type="continuationSeparator" w:id="0">
    <w:p w:rsidR="00E30C51" w:rsidRDefault="00E30C51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proofErr w:type="gramStart"/>
    <w:r>
      <w:t xml:space="preserve">str.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50C9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A50C9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stran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1" w:rsidRDefault="00E30C51" w:rsidP="00AB7989">
      <w:r>
        <w:separator/>
      </w:r>
    </w:p>
  </w:footnote>
  <w:footnote w:type="continuationSeparator" w:id="0">
    <w:p w:rsidR="00E30C51" w:rsidRDefault="00E30C51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5" w:rsidRDefault="005C0988" w:rsidP="005C0988">
    <w:pPr>
      <w:tabs>
        <w:tab w:val="center" w:pos="1980"/>
        <w:tab w:val="center" w:pos="7740"/>
      </w:tabs>
      <w:jc w:val="both"/>
      <w:rPr>
        <w:rStyle w:val="Siln"/>
        <w:rFonts w:ascii="Garamond" w:hAnsi="Garamond"/>
        <w:b w:val="0"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            </w:t>
    </w:r>
    <w:r w:rsidR="00F86A75">
      <w:rPr>
        <w:rFonts w:ascii="Garamond" w:hAnsi="Garamond"/>
        <w:i/>
        <w:iCs/>
        <w:color w:val="7F7F7F"/>
        <w:sz w:val="20"/>
        <w:szCs w:val="20"/>
      </w:rPr>
      <w:t xml:space="preserve">        </w:t>
    </w:r>
    <w:r w:rsidR="00B44F07">
      <w:rPr>
        <w:rFonts w:ascii="Garamond" w:hAnsi="Garamond"/>
        <w:i/>
        <w:iCs/>
        <w:color w:val="7F7F7F"/>
        <w:sz w:val="20"/>
        <w:szCs w:val="20"/>
      </w:rPr>
      <w:tab/>
    </w:r>
    <w:r w:rsidR="00B44F07">
      <w:rPr>
        <w:rFonts w:ascii="Garamond" w:hAnsi="Garamond"/>
        <w:i/>
        <w:iCs/>
        <w:color w:val="7F7F7F"/>
        <w:sz w:val="20"/>
        <w:szCs w:val="20"/>
      </w:rPr>
      <w:tab/>
      <w:t xml:space="preserve">       </w:t>
    </w:r>
    <w:proofErr w:type="gramStart"/>
    <w:r w:rsidR="00B44F07">
      <w:rPr>
        <w:rStyle w:val="Siln"/>
        <w:rFonts w:ascii="Garamond" w:hAnsi="Garamond"/>
        <w:b w:val="0"/>
        <w:i/>
        <w:color w:val="808080"/>
        <w:sz w:val="20"/>
        <w:szCs w:val="20"/>
      </w:rPr>
      <w:t>Ledovec</w:t>
    </w:r>
    <w:r w:rsidR="00202F96">
      <w:rPr>
        <w:rStyle w:val="Siln"/>
        <w:rFonts w:ascii="Garamond" w:hAnsi="Garamond"/>
        <w:b w:val="0"/>
        <w:i/>
        <w:color w:val="808080"/>
        <w:sz w:val="20"/>
        <w:szCs w:val="20"/>
      </w:rPr>
      <w:t>, z. s.</w:t>
    </w:r>
    <w:proofErr w:type="gramEnd"/>
  </w:p>
  <w:p w:rsidR="005C0988" w:rsidRPr="00F86A75" w:rsidRDefault="00F86A75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2017/00</w:t>
    </w:r>
    <w:r w:rsidR="00E52661">
      <w:rPr>
        <w:rFonts w:ascii="Garamond" w:hAnsi="Garamond"/>
        <w:i/>
        <w:iCs/>
        <w:color w:val="808080"/>
        <w:sz w:val="20"/>
      </w:rPr>
      <w:t>480</w:t>
    </w:r>
    <w:r w:rsidR="00807A85">
      <w:rPr>
        <w:rFonts w:ascii="Garamond" w:hAnsi="Garamond"/>
        <w:i/>
        <w:iCs/>
        <w:color w:val="808080"/>
        <w:sz w:val="20"/>
      </w:rPr>
      <w:t>2</w:t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5C0988"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23C5F"/>
    <w:rsid w:val="000276FC"/>
    <w:rsid w:val="00030E3A"/>
    <w:rsid w:val="000544E6"/>
    <w:rsid w:val="00054804"/>
    <w:rsid w:val="000569FC"/>
    <w:rsid w:val="0005796A"/>
    <w:rsid w:val="00060DA9"/>
    <w:rsid w:val="0006109C"/>
    <w:rsid w:val="000723B1"/>
    <w:rsid w:val="00072563"/>
    <w:rsid w:val="00073A22"/>
    <w:rsid w:val="00077A8B"/>
    <w:rsid w:val="00080988"/>
    <w:rsid w:val="000847C2"/>
    <w:rsid w:val="00087DA1"/>
    <w:rsid w:val="000900AA"/>
    <w:rsid w:val="00090AF1"/>
    <w:rsid w:val="00092978"/>
    <w:rsid w:val="00095905"/>
    <w:rsid w:val="000A5C31"/>
    <w:rsid w:val="000B6ED1"/>
    <w:rsid w:val="000D6F8F"/>
    <w:rsid w:val="000E53B1"/>
    <w:rsid w:val="000F2D4C"/>
    <w:rsid w:val="00133F1A"/>
    <w:rsid w:val="00146CF0"/>
    <w:rsid w:val="00187250"/>
    <w:rsid w:val="00190844"/>
    <w:rsid w:val="00193E3E"/>
    <w:rsid w:val="001947AE"/>
    <w:rsid w:val="001B1227"/>
    <w:rsid w:val="001E59BE"/>
    <w:rsid w:val="001F0631"/>
    <w:rsid w:val="002005CA"/>
    <w:rsid w:val="00202F96"/>
    <w:rsid w:val="0020698B"/>
    <w:rsid w:val="0022685C"/>
    <w:rsid w:val="00230805"/>
    <w:rsid w:val="00245A79"/>
    <w:rsid w:val="00254D1E"/>
    <w:rsid w:val="00293FA0"/>
    <w:rsid w:val="002A16C2"/>
    <w:rsid w:val="002A18CF"/>
    <w:rsid w:val="002A50C9"/>
    <w:rsid w:val="002B3313"/>
    <w:rsid w:val="002B67B3"/>
    <w:rsid w:val="002C64B4"/>
    <w:rsid w:val="002E2D42"/>
    <w:rsid w:val="002E3471"/>
    <w:rsid w:val="002E7F12"/>
    <w:rsid w:val="0032485B"/>
    <w:rsid w:val="0033141B"/>
    <w:rsid w:val="003444A1"/>
    <w:rsid w:val="00344700"/>
    <w:rsid w:val="0035406B"/>
    <w:rsid w:val="0036646E"/>
    <w:rsid w:val="003774C5"/>
    <w:rsid w:val="00382596"/>
    <w:rsid w:val="0038561C"/>
    <w:rsid w:val="0039019D"/>
    <w:rsid w:val="003A5E6E"/>
    <w:rsid w:val="003A6032"/>
    <w:rsid w:val="003C6316"/>
    <w:rsid w:val="003D47E2"/>
    <w:rsid w:val="003F0402"/>
    <w:rsid w:val="003F057E"/>
    <w:rsid w:val="00421536"/>
    <w:rsid w:val="004663C2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6861"/>
    <w:rsid w:val="004E3785"/>
    <w:rsid w:val="004F2F62"/>
    <w:rsid w:val="0051245A"/>
    <w:rsid w:val="00535E0F"/>
    <w:rsid w:val="00546953"/>
    <w:rsid w:val="0054702E"/>
    <w:rsid w:val="005516CD"/>
    <w:rsid w:val="00553E35"/>
    <w:rsid w:val="005568BD"/>
    <w:rsid w:val="005608FE"/>
    <w:rsid w:val="005666FB"/>
    <w:rsid w:val="0057133D"/>
    <w:rsid w:val="00572850"/>
    <w:rsid w:val="0058448E"/>
    <w:rsid w:val="005C0988"/>
    <w:rsid w:val="005C2C38"/>
    <w:rsid w:val="005C37B3"/>
    <w:rsid w:val="005D0DFE"/>
    <w:rsid w:val="005D1D54"/>
    <w:rsid w:val="005D5380"/>
    <w:rsid w:val="005E0D2A"/>
    <w:rsid w:val="005E126C"/>
    <w:rsid w:val="005F5983"/>
    <w:rsid w:val="00601A65"/>
    <w:rsid w:val="00602670"/>
    <w:rsid w:val="00607DA2"/>
    <w:rsid w:val="00611D2B"/>
    <w:rsid w:val="00613310"/>
    <w:rsid w:val="00625807"/>
    <w:rsid w:val="0062714B"/>
    <w:rsid w:val="00647B50"/>
    <w:rsid w:val="00663D3C"/>
    <w:rsid w:val="00664AAF"/>
    <w:rsid w:val="00681D3C"/>
    <w:rsid w:val="0068399C"/>
    <w:rsid w:val="006B249F"/>
    <w:rsid w:val="006B7536"/>
    <w:rsid w:val="006C2CC4"/>
    <w:rsid w:val="006D6443"/>
    <w:rsid w:val="006E2C08"/>
    <w:rsid w:val="00704C18"/>
    <w:rsid w:val="007108B7"/>
    <w:rsid w:val="007166A1"/>
    <w:rsid w:val="007203CE"/>
    <w:rsid w:val="007278B6"/>
    <w:rsid w:val="00733C52"/>
    <w:rsid w:val="0073708B"/>
    <w:rsid w:val="00761DD2"/>
    <w:rsid w:val="00763F9F"/>
    <w:rsid w:val="007734BE"/>
    <w:rsid w:val="00776755"/>
    <w:rsid w:val="0078341C"/>
    <w:rsid w:val="00787453"/>
    <w:rsid w:val="007B209B"/>
    <w:rsid w:val="007C1B5A"/>
    <w:rsid w:val="007C1D6C"/>
    <w:rsid w:val="007D31D0"/>
    <w:rsid w:val="007E2028"/>
    <w:rsid w:val="007E469A"/>
    <w:rsid w:val="00801C35"/>
    <w:rsid w:val="00807A85"/>
    <w:rsid w:val="00825164"/>
    <w:rsid w:val="00827C41"/>
    <w:rsid w:val="00847A3E"/>
    <w:rsid w:val="008506D6"/>
    <w:rsid w:val="008517AB"/>
    <w:rsid w:val="0085287B"/>
    <w:rsid w:val="00855A8D"/>
    <w:rsid w:val="008656A8"/>
    <w:rsid w:val="00895659"/>
    <w:rsid w:val="008A66B2"/>
    <w:rsid w:val="008A6964"/>
    <w:rsid w:val="008B050C"/>
    <w:rsid w:val="008C0406"/>
    <w:rsid w:val="008C638F"/>
    <w:rsid w:val="008D7160"/>
    <w:rsid w:val="008E2178"/>
    <w:rsid w:val="008F4FA6"/>
    <w:rsid w:val="008F6FB1"/>
    <w:rsid w:val="00900EB0"/>
    <w:rsid w:val="00916B5F"/>
    <w:rsid w:val="00943494"/>
    <w:rsid w:val="00964D40"/>
    <w:rsid w:val="00992E56"/>
    <w:rsid w:val="009A23FC"/>
    <w:rsid w:val="009A2835"/>
    <w:rsid w:val="009B02BC"/>
    <w:rsid w:val="009B6CFF"/>
    <w:rsid w:val="009D095A"/>
    <w:rsid w:val="009E4BB2"/>
    <w:rsid w:val="009E6B62"/>
    <w:rsid w:val="00A23CCE"/>
    <w:rsid w:val="00A34DF1"/>
    <w:rsid w:val="00A55FD9"/>
    <w:rsid w:val="00A6673B"/>
    <w:rsid w:val="00A66ADE"/>
    <w:rsid w:val="00A72439"/>
    <w:rsid w:val="00AA1A89"/>
    <w:rsid w:val="00AB7989"/>
    <w:rsid w:val="00AC1F1E"/>
    <w:rsid w:val="00AD1274"/>
    <w:rsid w:val="00AF2BF9"/>
    <w:rsid w:val="00B23DDF"/>
    <w:rsid w:val="00B33D35"/>
    <w:rsid w:val="00B44DEE"/>
    <w:rsid w:val="00B44E24"/>
    <w:rsid w:val="00B44F07"/>
    <w:rsid w:val="00B50C03"/>
    <w:rsid w:val="00B55F2D"/>
    <w:rsid w:val="00B6742A"/>
    <w:rsid w:val="00B76113"/>
    <w:rsid w:val="00B96D1C"/>
    <w:rsid w:val="00BA6213"/>
    <w:rsid w:val="00BB37CC"/>
    <w:rsid w:val="00BB497B"/>
    <w:rsid w:val="00BC05A9"/>
    <w:rsid w:val="00BC352B"/>
    <w:rsid w:val="00BD4F01"/>
    <w:rsid w:val="00BD5F41"/>
    <w:rsid w:val="00BE4DA0"/>
    <w:rsid w:val="00BE62CC"/>
    <w:rsid w:val="00BF22D0"/>
    <w:rsid w:val="00BF7B57"/>
    <w:rsid w:val="00C04AC7"/>
    <w:rsid w:val="00C23AC1"/>
    <w:rsid w:val="00C3766C"/>
    <w:rsid w:val="00C74E31"/>
    <w:rsid w:val="00C758A2"/>
    <w:rsid w:val="00C80CAF"/>
    <w:rsid w:val="00CB44F6"/>
    <w:rsid w:val="00CC155F"/>
    <w:rsid w:val="00CD28BA"/>
    <w:rsid w:val="00CE7AF0"/>
    <w:rsid w:val="00CF678E"/>
    <w:rsid w:val="00D0088C"/>
    <w:rsid w:val="00D11C45"/>
    <w:rsid w:val="00D16578"/>
    <w:rsid w:val="00D225BE"/>
    <w:rsid w:val="00D37595"/>
    <w:rsid w:val="00D42EAB"/>
    <w:rsid w:val="00D477D0"/>
    <w:rsid w:val="00D50DC6"/>
    <w:rsid w:val="00D64151"/>
    <w:rsid w:val="00D70084"/>
    <w:rsid w:val="00D75586"/>
    <w:rsid w:val="00DA20A6"/>
    <w:rsid w:val="00DA4196"/>
    <w:rsid w:val="00DA7099"/>
    <w:rsid w:val="00DB1D85"/>
    <w:rsid w:val="00DB26A7"/>
    <w:rsid w:val="00DB3002"/>
    <w:rsid w:val="00DD77E4"/>
    <w:rsid w:val="00E03652"/>
    <w:rsid w:val="00E06545"/>
    <w:rsid w:val="00E11D27"/>
    <w:rsid w:val="00E12B82"/>
    <w:rsid w:val="00E23528"/>
    <w:rsid w:val="00E2451F"/>
    <w:rsid w:val="00E252A0"/>
    <w:rsid w:val="00E30C51"/>
    <w:rsid w:val="00E360F1"/>
    <w:rsid w:val="00E450C0"/>
    <w:rsid w:val="00E46F0D"/>
    <w:rsid w:val="00E51083"/>
    <w:rsid w:val="00E51BA7"/>
    <w:rsid w:val="00E51F21"/>
    <w:rsid w:val="00E52661"/>
    <w:rsid w:val="00E55D34"/>
    <w:rsid w:val="00E5757E"/>
    <w:rsid w:val="00E57E8F"/>
    <w:rsid w:val="00E7343B"/>
    <w:rsid w:val="00EA1F82"/>
    <w:rsid w:val="00EA5A7C"/>
    <w:rsid w:val="00EC5CFC"/>
    <w:rsid w:val="00ED056A"/>
    <w:rsid w:val="00ED0BB4"/>
    <w:rsid w:val="00ED6481"/>
    <w:rsid w:val="00EE7DD1"/>
    <w:rsid w:val="00F164FA"/>
    <w:rsid w:val="00F21E7D"/>
    <w:rsid w:val="00F27A4B"/>
    <w:rsid w:val="00F50F95"/>
    <w:rsid w:val="00F534D5"/>
    <w:rsid w:val="00F57560"/>
    <w:rsid w:val="00F702E5"/>
    <w:rsid w:val="00F73475"/>
    <w:rsid w:val="00F86A75"/>
    <w:rsid w:val="00F93F1E"/>
    <w:rsid w:val="00F9791A"/>
    <w:rsid w:val="00FA15EC"/>
    <w:rsid w:val="00FB022D"/>
    <w:rsid w:val="00FC46B4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E777-0D17-4070-9531-2BC27C4C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2017-07-14T08:14:00Z</cp:lastPrinted>
  <dcterms:created xsi:type="dcterms:W3CDTF">2017-08-18T12:09:00Z</dcterms:created>
  <dcterms:modified xsi:type="dcterms:W3CDTF">2017-08-18T12:09:00Z</dcterms:modified>
</cp:coreProperties>
</file>