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1A84F" w14:textId="77777777" w:rsidR="00F61292" w:rsidRDefault="004B44C0">
      <w:pPr>
        <w:pStyle w:val="Nzev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</w:p>
    <w:p w14:paraId="51B2B41E" w14:textId="3EB07948" w:rsidR="004B44C0" w:rsidRPr="009E158E" w:rsidRDefault="004B44C0">
      <w:pPr>
        <w:pStyle w:val="Nzev"/>
        <w:outlineLvl w:val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</w:t>
      </w:r>
      <w:r w:rsidR="00DB68F6">
        <w:rPr>
          <w:rFonts w:ascii="Arial" w:hAnsi="Arial" w:cs="Arial"/>
          <w:sz w:val="20"/>
        </w:rPr>
        <w:t xml:space="preserve">     </w:t>
      </w:r>
      <w:r w:rsidR="00F36488">
        <w:rPr>
          <w:rFonts w:ascii="Arial" w:hAnsi="Arial" w:cs="Arial"/>
          <w:sz w:val="20"/>
        </w:rPr>
        <w:t>Č.j.</w:t>
      </w:r>
      <w:r w:rsidR="0046572A">
        <w:rPr>
          <w:rFonts w:ascii="Arial" w:hAnsi="Arial" w:cs="Arial"/>
          <w:sz w:val="20"/>
        </w:rPr>
        <w:t xml:space="preserve"> </w:t>
      </w:r>
      <w:r w:rsidR="00A11BE7" w:rsidRPr="00A11BE7">
        <w:rPr>
          <w:rFonts w:ascii="Arial" w:hAnsi="Arial" w:cs="Arial"/>
          <w:sz w:val="20"/>
        </w:rPr>
        <w:t>ND/2334/600301/2025</w:t>
      </w:r>
    </w:p>
    <w:p w14:paraId="4FB4BF6F" w14:textId="77777777" w:rsidR="004B44C0" w:rsidRPr="009E158E" w:rsidRDefault="004B44C0">
      <w:pPr>
        <w:pStyle w:val="Nzev"/>
        <w:outlineLvl w:val="0"/>
        <w:rPr>
          <w:rFonts w:ascii="Arial" w:hAnsi="Arial" w:cs="Arial"/>
          <w:sz w:val="20"/>
        </w:rPr>
      </w:pPr>
    </w:p>
    <w:p w14:paraId="0C95C463" w14:textId="77777777" w:rsidR="005621C5" w:rsidRDefault="004B44C0">
      <w:pPr>
        <w:pStyle w:val="Nzev"/>
        <w:jc w:val="left"/>
        <w:outlineLvl w:val="0"/>
        <w:rPr>
          <w:rFonts w:ascii="Arial" w:hAnsi="Arial" w:cs="Arial"/>
          <w:sz w:val="22"/>
          <w:szCs w:val="22"/>
        </w:rPr>
      </w:pPr>
      <w:r w:rsidRPr="009E158E">
        <w:rPr>
          <w:rFonts w:ascii="Arial" w:hAnsi="Arial" w:cs="Arial"/>
          <w:sz w:val="22"/>
          <w:szCs w:val="22"/>
        </w:rPr>
        <w:t xml:space="preserve">                               </w:t>
      </w:r>
      <w:r w:rsidR="009E158E" w:rsidRPr="009E158E">
        <w:rPr>
          <w:rFonts w:ascii="Arial" w:hAnsi="Arial" w:cs="Arial"/>
          <w:sz w:val="22"/>
          <w:szCs w:val="22"/>
        </w:rPr>
        <w:t xml:space="preserve">        </w:t>
      </w:r>
    </w:p>
    <w:p w14:paraId="7AAADA96" w14:textId="64EFF4FC" w:rsidR="0071346E" w:rsidRDefault="0062216B" w:rsidP="0062216B">
      <w:pPr>
        <w:jc w:val="center"/>
        <w:rPr>
          <w:rFonts w:ascii="Arial" w:hAnsi="Arial" w:cs="Arial"/>
          <w:b/>
          <w:bCs/>
          <w:szCs w:val="22"/>
        </w:rPr>
      </w:pPr>
      <w:r w:rsidRPr="00B5023B">
        <w:rPr>
          <w:rFonts w:ascii="Arial" w:hAnsi="Arial" w:cs="Arial"/>
          <w:b/>
          <w:bCs/>
          <w:szCs w:val="22"/>
        </w:rPr>
        <w:t xml:space="preserve">Dodatek č. 1 ke Smlouvě č. THS </w:t>
      </w:r>
      <w:r w:rsidR="002B7BBA">
        <w:rPr>
          <w:rFonts w:ascii="Arial" w:hAnsi="Arial" w:cs="Arial"/>
          <w:b/>
          <w:bCs/>
          <w:szCs w:val="22"/>
        </w:rPr>
        <w:t>SO</w:t>
      </w:r>
      <w:r w:rsidRPr="00B5023B">
        <w:rPr>
          <w:rFonts w:ascii="Arial" w:hAnsi="Arial" w:cs="Arial"/>
          <w:b/>
          <w:bCs/>
          <w:szCs w:val="22"/>
        </w:rPr>
        <w:t xml:space="preserve"> </w:t>
      </w:r>
      <w:r w:rsidR="002B7BBA">
        <w:rPr>
          <w:rFonts w:ascii="Arial" w:hAnsi="Arial" w:cs="Arial"/>
          <w:b/>
          <w:bCs/>
          <w:szCs w:val="22"/>
        </w:rPr>
        <w:t>08</w:t>
      </w:r>
      <w:r w:rsidRPr="00B5023B">
        <w:rPr>
          <w:rFonts w:ascii="Arial" w:hAnsi="Arial" w:cs="Arial"/>
          <w:b/>
          <w:bCs/>
          <w:szCs w:val="22"/>
        </w:rPr>
        <w:t>/202</w:t>
      </w:r>
      <w:r w:rsidR="002B7BBA">
        <w:rPr>
          <w:rFonts w:ascii="Arial" w:hAnsi="Arial" w:cs="Arial"/>
          <w:b/>
          <w:bCs/>
          <w:szCs w:val="22"/>
        </w:rPr>
        <w:t>4</w:t>
      </w:r>
    </w:p>
    <w:p w14:paraId="6004978B" w14:textId="77777777" w:rsidR="00AA6DBC" w:rsidRPr="009E158E" w:rsidRDefault="00AA6DBC" w:rsidP="0062216B">
      <w:pPr>
        <w:jc w:val="center"/>
        <w:rPr>
          <w:rFonts w:ascii="Arial" w:hAnsi="Arial" w:cs="Arial"/>
          <w:sz w:val="20"/>
        </w:rPr>
      </w:pPr>
    </w:p>
    <w:p w14:paraId="0790B949" w14:textId="364C8DDB" w:rsidR="004B44C0" w:rsidRDefault="008E3A6B" w:rsidP="008E3A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E3A6B">
        <w:rPr>
          <w:rFonts w:ascii="Arial" w:hAnsi="Arial" w:cs="Arial"/>
          <w:b/>
          <w:sz w:val="22"/>
          <w:szCs w:val="22"/>
        </w:rPr>
        <w:t xml:space="preserve">Název akce: </w:t>
      </w:r>
      <w:r w:rsidR="002B7BBA" w:rsidRPr="001804A8">
        <w:rPr>
          <w:rFonts w:ascii="Arial" w:hAnsi="Arial" w:cs="Arial"/>
          <w:b/>
          <w:sz w:val="22"/>
          <w:szCs w:val="22"/>
        </w:rPr>
        <w:t>ND – Ochrana před přívalovým deštěm Státní opery</w:t>
      </w:r>
    </w:p>
    <w:p w14:paraId="5620E4AF" w14:textId="77777777" w:rsidR="0071346E" w:rsidRPr="009E158E" w:rsidRDefault="0071346E">
      <w:pPr>
        <w:jc w:val="both"/>
        <w:rPr>
          <w:rFonts w:ascii="Arial" w:hAnsi="Arial" w:cs="Arial"/>
          <w:sz w:val="20"/>
        </w:rPr>
      </w:pPr>
    </w:p>
    <w:p w14:paraId="46F1EC22" w14:textId="77777777" w:rsidR="004B44C0" w:rsidRPr="009E158E" w:rsidRDefault="004B44C0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>I.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b/>
          <w:sz w:val="20"/>
          <w:u w:val="single"/>
        </w:rPr>
        <w:t xml:space="preserve">Účastníci smluvního vztahu </w:t>
      </w:r>
    </w:p>
    <w:p w14:paraId="49FCB708" w14:textId="77777777" w:rsidR="004B44C0" w:rsidRPr="009E158E" w:rsidRDefault="004B44C0">
      <w:pPr>
        <w:jc w:val="both"/>
        <w:rPr>
          <w:rFonts w:ascii="Arial" w:hAnsi="Arial" w:cs="Arial"/>
          <w:sz w:val="20"/>
        </w:rPr>
      </w:pPr>
    </w:p>
    <w:p w14:paraId="0130D3B8" w14:textId="77777777" w:rsidR="00F82C93" w:rsidRPr="009E158E" w:rsidRDefault="00F82C93" w:rsidP="00F82C93">
      <w:pPr>
        <w:jc w:val="both"/>
        <w:outlineLvl w:val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b/>
          <w:sz w:val="20"/>
        </w:rPr>
        <w:t>Objednatel</w:t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sz w:val="20"/>
        </w:rPr>
        <w:t xml:space="preserve">: </w:t>
      </w:r>
      <w:r w:rsidRPr="009E158E">
        <w:rPr>
          <w:rFonts w:ascii="Arial" w:hAnsi="Arial" w:cs="Arial"/>
          <w:b/>
          <w:sz w:val="20"/>
        </w:rPr>
        <w:t xml:space="preserve">Národní divadlo </w:t>
      </w:r>
    </w:p>
    <w:p w14:paraId="4936F650" w14:textId="7C2D7FA7" w:rsidR="00F82C93" w:rsidRPr="009E158E" w:rsidRDefault="00F82C93" w:rsidP="00F82C93">
      <w:pPr>
        <w:tabs>
          <w:tab w:val="left" w:pos="284"/>
          <w:tab w:val="left" w:pos="1701"/>
        </w:tabs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se sídlem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sz w:val="20"/>
        </w:rPr>
        <w:tab/>
        <w:t xml:space="preserve">: Ostrovní </w:t>
      </w:r>
      <w:r w:rsidR="00341D1D">
        <w:rPr>
          <w:rFonts w:ascii="Arial" w:hAnsi="Arial" w:cs="Arial"/>
          <w:sz w:val="20"/>
        </w:rPr>
        <w:t>225/</w:t>
      </w:r>
      <w:r w:rsidRPr="009E158E">
        <w:rPr>
          <w:rFonts w:ascii="Arial" w:hAnsi="Arial" w:cs="Arial"/>
          <w:sz w:val="20"/>
        </w:rPr>
        <w:t xml:space="preserve">1, </w:t>
      </w:r>
      <w:r w:rsidR="00341D1D">
        <w:rPr>
          <w:rFonts w:ascii="Arial" w:hAnsi="Arial" w:cs="Arial"/>
          <w:sz w:val="20"/>
        </w:rPr>
        <w:t>110 00</w:t>
      </w:r>
      <w:r w:rsidRPr="009E158E">
        <w:rPr>
          <w:rFonts w:ascii="Arial" w:hAnsi="Arial" w:cs="Arial"/>
          <w:sz w:val="20"/>
        </w:rPr>
        <w:t xml:space="preserve"> Praha 1</w:t>
      </w:r>
      <w:r w:rsidR="000555F4">
        <w:rPr>
          <w:rFonts w:ascii="Arial" w:hAnsi="Arial" w:cs="Arial"/>
          <w:sz w:val="20"/>
        </w:rPr>
        <w:t xml:space="preserve"> – Nové Město</w:t>
      </w:r>
    </w:p>
    <w:p w14:paraId="4E87924A" w14:textId="312392DB" w:rsidR="00C04D78" w:rsidRDefault="00C04D78" w:rsidP="00F82C93">
      <w:pPr>
        <w:jc w:val="both"/>
        <w:rPr>
          <w:rFonts w:ascii="Arial" w:hAnsi="Arial" w:cs="Arial"/>
          <w:sz w:val="20"/>
        </w:rPr>
      </w:pPr>
      <w:r w:rsidRPr="00C04D78">
        <w:rPr>
          <w:rFonts w:ascii="Arial" w:hAnsi="Arial" w:cs="Arial"/>
          <w:sz w:val="20"/>
        </w:rPr>
        <w:t>zastoupené</w:t>
      </w:r>
      <w:r w:rsidRPr="00C04D78">
        <w:rPr>
          <w:rFonts w:ascii="Arial" w:hAnsi="Arial" w:cs="Arial"/>
          <w:sz w:val="20"/>
        </w:rPr>
        <w:tab/>
      </w:r>
      <w:r w:rsidRPr="00C04D78">
        <w:rPr>
          <w:rFonts w:ascii="Arial" w:hAnsi="Arial" w:cs="Arial"/>
          <w:sz w:val="20"/>
        </w:rPr>
        <w:tab/>
        <w:t xml:space="preserve">: </w:t>
      </w:r>
      <w:r w:rsidR="00341D1D" w:rsidRPr="00341D1D">
        <w:rPr>
          <w:rFonts w:ascii="Arial" w:hAnsi="Arial" w:cs="Arial"/>
          <w:sz w:val="20"/>
        </w:rPr>
        <w:t>prof. MgA. Jan Burian, generální ředitel Národního divadla</w:t>
      </w:r>
    </w:p>
    <w:p w14:paraId="3C133452" w14:textId="212CCB7F" w:rsidR="00F82C93" w:rsidRPr="009E158E" w:rsidRDefault="00F82C93" w:rsidP="00F82C93">
      <w:pPr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Bankovní sp</w:t>
      </w:r>
      <w:r>
        <w:rPr>
          <w:rFonts w:ascii="Arial" w:hAnsi="Arial" w:cs="Arial"/>
          <w:sz w:val="20"/>
        </w:rPr>
        <w:t xml:space="preserve">ojení </w:t>
      </w:r>
      <w:r>
        <w:rPr>
          <w:rFonts w:ascii="Arial" w:hAnsi="Arial" w:cs="Arial"/>
          <w:sz w:val="20"/>
        </w:rPr>
        <w:tab/>
        <w:t>: ČNB, Na Příkopě 28, Praha 1</w:t>
      </w:r>
    </w:p>
    <w:p w14:paraId="47CAFC64" w14:textId="1DDBE2E1" w:rsidR="00F82C93" w:rsidRPr="009E158E" w:rsidRDefault="00F82C93" w:rsidP="00F82C9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č. účtu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: </w:t>
      </w:r>
      <w:r w:rsidR="00975F71">
        <w:rPr>
          <w:rFonts w:ascii="Arial" w:hAnsi="Arial" w:cs="Arial"/>
          <w:sz w:val="20"/>
        </w:rPr>
        <w:t>xx</w:t>
      </w:r>
    </w:p>
    <w:p w14:paraId="5141508F" w14:textId="77777777" w:rsidR="00F82C93" w:rsidRPr="009E158E" w:rsidRDefault="00F82C93" w:rsidP="00F82C9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IČO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00023</w:t>
      </w:r>
      <w:r w:rsidRPr="009E158E">
        <w:rPr>
          <w:rFonts w:ascii="Arial" w:hAnsi="Arial" w:cs="Arial"/>
          <w:sz w:val="20"/>
        </w:rPr>
        <w:t>337</w:t>
      </w:r>
    </w:p>
    <w:p w14:paraId="51BC5BAF" w14:textId="77777777" w:rsidR="00F82C93" w:rsidRPr="009E158E" w:rsidRDefault="00F82C93" w:rsidP="00F82C9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CZ00023</w:t>
      </w:r>
      <w:r w:rsidRPr="009E158E">
        <w:rPr>
          <w:rFonts w:ascii="Arial" w:hAnsi="Arial" w:cs="Arial"/>
          <w:sz w:val="20"/>
        </w:rPr>
        <w:t>337</w:t>
      </w:r>
    </w:p>
    <w:p w14:paraId="2A2ED85E" w14:textId="42162B54" w:rsidR="004B44C0" w:rsidRPr="009E158E" w:rsidRDefault="00F82C93" w:rsidP="00F82C93">
      <w:pPr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(dále jen objednatel)</w:t>
      </w:r>
    </w:p>
    <w:p w14:paraId="622F5ACC" w14:textId="77777777" w:rsidR="00D74F80" w:rsidRPr="009E158E" w:rsidRDefault="00D74F80">
      <w:pPr>
        <w:jc w:val="both"/>
        <w:rPr>
          <w:rFonts w:ascii="Arial" w:hAnsi="Arial" w:cs="Arial"/>
          <w:sz w:val="20"/>
        </w:rPr>
      </w:pPr>
    </w:p>
    <w:p w14:paraId="4DBB3D58" w14:textId="77777777" w:rsidR="004B44C0" w:rsidRPr="009E158E" w:rsidRDefault="004B44C0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a</w:t>
      </w:r>
    </w:p>
    <w:p w14:paraId="232D2EC4" w14:textId="77777777" w:rsidR="00D74F80" w:rsidRPr="009E158E" w:rsidRDefault="00D74F80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</w:p>
    <w:p w14:paraId="65221A2A" w14:textId="77777777" w:rsidR="002B7BBA" w:rsidRPr="00E61181" w:rsidRDefault="002B7BBA" w:rsidP="002B7BBA">
      <w:pPr>
        <w:rPr>
          <w:rFonts w:ascii="Arial" w:hAnsi="Arial" w:cs="Arial"/>
          <w:sz w:val="20"/>
        </w:rPr>
      </w:pPr>
      <w:r w:rsidRPr="00E61181">
        <w:rPr>
          <w:rFonts w:ascii="Arial" w:hAnsi="Arial" w:cs="Arial"/>
          <w:b/>
          <w:sz w:val="20"/>
        </w:rPr>
        <w:t>Zhotovitel</w:t>
      </w:r>
      <w:r w:rsidRPr="00E61181">
        <w:rPr>
          <w:rFonts w:ascii="Arial" w:hAnsi="Arial" w:cs="Arial"/>
          <w:sz w:val="20"/>
        </w:rPr>
        <w:tab/>
      </w:r>
      <w:r w:rsidRPr="00E61181">
        <w:rPr>
          <w:rFonts w:ascii="Arial" w:hAnsi="Arial" w:cs="Arial"/>
          <w:sz w:val="20"/>
        </w:rPr>
        <w:tab/>
        <w:t>:</w:t>
      </w:r>
      <w:r w:rsidRPr="00E61181">
        <w:rPr>
          <w:rFonts w:ascii="Arial" w:hAnsi="Arial" w:cs="Arial"/>
          <w:b/>
          <w:sz w:val="20"/>
        </w:rPr>
        <w:t xml:space="preserve"> JaP – Jacina, s.r.o.</w:t>
      </w:r>
    </w:p>
    <w:p w14:paraId="6852AA80" w14:textId="77777777" w:rsidR="002B7BBA" w:rsidRPr="00E61181" w:rsidRDefault="002B7BBA" w:rsidP="002B7BBA">
      <w:pPr>
        <w:jc w:val="both"/>
        <w:rPr>
          <w:rFonts w:ascii="Arial" w:hAnsi="Arial" w:cs="Arial"/>
          <w:sz w:val="20"/>
        </w:rPr>
      </w:pPr>
      <w:r w:rsidRPr="00E61181">
        <w:rPr>
          <w:rFonts w:ascii="Arial" w:hAnsi="Arial" w:cs="Arial"/>
          <w:sz w:val="20"/>
        </w:rPr>
        <w:t>se sídlem</w:t>
      </w:r>
      <w:r w:rsidRPr="00E61181">
        <w:rPr>
          <w:rFonts w:ascii="Arial" w:hAnsi="Arial" w:cs="Arial"/>
          <w:sz w:val="20"/>
        </w:rPr>
        <w:tab/>
      </w:r>
      <w:r w:rsidRPr="00E61181"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>Nákladní ul. 1489, 295 01 Mnichovo Hradiště</w:t>
      </w:r>
    </w:p>
    <w:p w14:paraId="4663EA42" w14:textId="77777777" w:rsidR="002B7BBA" w:rsidRPr="00E61181" w:rsidRDefault="002B7BBA" w:rsidP="002B7BBA">
      <w:pPr>
        <w:rPr>
          <w:rFonts w:ascii="Arial" w:hAnsi="Arial" w:cs="Arial"/>
          <w:sz w:val="20"/>
        </w:rPr>
      </w:pPr>
      <w:r w:rsidRPr="00E61181">
        <w:rPr>
          <w:rFonts w:ascii="Arial" w:hAnsi="Arial" w:cs="Arial"/>
          <w:sz w:val="20"/>
        </w:rPr>
        <w:t xml:space="preserve">zastoupené </w:t>
      </w:r>
      <w:r w:rsidRPr="00E61181">
        <w:rPr>
          <w:rFonts w:ascii="Arial" w:hAnsi="Arial" w:cs="Arial"/>
          <w:sz w:val="20"/>
        </w:rPr>
        <w:tab/>
      </w:r>
      <w:r w:rsidRPr="00E61181"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>Petrem Jacinou, jednatelem společnosti</w:t>
      </w:r>
    </w:p>
    <w:p w14:paraId="021EC630" w14:textId="77777777" w:rsidR="002B7BBA" w:rsidRPr="00E61181" w:rsidRDefault="002B7BBA" w:rsidP="002B7BBA">
      <w:pPr>
        <w:jc w:val="both"/>
        <w:rPr>
          <w:rFonts w:ascii="Arial" w:hAnsi="Arial" w:cs="Arial"/>
          <w:color w:val="FF0000"/>
          <w:sz w:val="20"/>
        </w:rPr>
      </w:pPr>
      <w:r w:rsidRPr="00E61181">
        <w:rPr>
          <w:rFonts w:ascii="Arial" w:hAnsi="Arial" w:cs="Arial"/>
          <w:sz w:val="20"/>
        </w:rPr>
        <w:t xml:space="preserve">Bankovní spojení </w:t>
      </w:r>
      <w:r w:rsidRPr="00E61181"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>Česká spořitelna a.s.</w:t>
      </w:r>
    </w:p>
    <w:p w14:paraId="71A5DB9A" w14:textId="23CF1B0C" w:rsidR="002B7BBA" w:rsidRPr="00E61181" w:rsidRDefault="002B7BBA" w:rsidP="002B7BBA">
      <w:pPr>
        <w:tabs>
          <w:tab w:val="left" w:pos="2127"/>
        </w:tabs>
        <w:jc w:val="both"/>
        <w:rPr>
          <w:rFonts w:ascii="Arial" w:hAnsi="Arial" w:cs="Arial"/>
          <w:sz w:val="20"/>
        </w:rPr>
      </w:pPr>
      <w:r w:rsidRPr="00E61181">
        <w:rPr>
          <w:rFonts w:ascii="Arial" w:hAnsi="Arial" w:cs="Arial"/>
          <w:sz w:val="20"/>
        </w:rPr>
        <w:t xml:space="preserve">č. účtu </w:t>
      </w:r>
      <w:r w:rsidRPr="00E61181">
        <w:rPr>
          <w:rFonts w:ascii="Arial" w:hAnsi="Arial" w:cs="Arial"/>
          <w:sz w:val="20"/>
        </w:rPr>
        <w:tab/>
        <w:t xml:space="preserve">: </w:t>
      </w:r>
      <w:r w:rsidR="00975F71">
        <w:rPr>
          <w:rFonts w:ascii="Arial" w:hAnsi="Arial" w:cs="Arial"/>
          <w:sz w:val="20"/>
        </w:rPr>
        <w:t>xx</w:t>
      </w:r>
    </w:p>
    <w:p w14:paraId="02E69DAF" w14:textId="77777777" w:rsidR="002B7BBA" w:rsidRPr="00E61181" w:rsidRDefault="002B7BBA" w:rsidP="002B7BBA">
      <w:pPr>
        <w:tabs>
          <w:tab w:val="left" w:pos="2127"/>
        </w:tabs>
        <w:ind w:left="2268" w:hanging="2268"/>
        <w:rPr>
          <w:rFonts w:ascii="Arial" w:hAnsi="Arial" w:cs="Arial"/>
          <w:sz w:val="20"/>
        </w:rPr>
      </w:pPr>
      <w:r w:rsidRPr="00E61181">
        <w:rPr>
          <w:rFonts w:ascii="Arial" w:hAnsi="Arial" w:cs="Arial"/>
          <w:sz w:val="20"/>
        </w:rPr>
        <w:t>Zápis do OR</w:t>
      </w:r>
      <w:r w:rsidRPr="00E61181"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>vedeném Městským soudem v Praze oddíl C, vložka č. 58497</w:t>
      </w:r>
    </w:p>
    <w:p w14:paraId="643BFAFE" w14:textId="77777777" w:rsidR="002B7BBA" w:rsidRPr="00E61181" w:rsidRDefault="002B7BBA" w:rsidP="002B7BBA">
      <w:pPr>
        <w:jc w:val="both"/>
        <w:rPr>
          <w:rFonts w:ascii="Arial" w:hAnsi="Arial" w:cs="Arial"/>
          <w:sz w:val="20"/>
        </w:rPr>
      </w:pPr>
      <w:r w:rsidRPr="00E61181">
        <w:rPr>
          <w:rFonts w:ascii="Arial" w:hAnsi="Arial" w:cs="Arial"/>
          <w:sz w:val="20"/>
        </w:rPr>
        <w:t xml:space="preserve">IČO </w:t>
      </w:r>
      <w:r w:rsidRPr="00E61181">
        <w:rPr>
          <w:rFonts w:ascii="Arial" w:hAnsi="Arial" w:cs="Arial"/>
          <w:sz w:val="20"/>
        </w:rPr>
        <w:tab/>
      </w:r>
      <w:r w:rsidRPr="00E61181">
        <w:rPr>
          <w:rFonts w:ascii="Arial" w:hAnsi="Arial" w:cs="Arial"/>
          <w:sz w:val="20"/>
        </w:rPr>
        <w:tab/>
      </w:r>
      <w:r w:rsidRPr="00E61181"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>256 55 108</w:t>
      </w:r>
    </w:p>
    <w:p w14:paraId="6C18D9DC" w14:textId="77777777" w:rsidR="002B7BBA" w:rsidRPr="00CE4322" w:rsidRDefault="002B7BBA" w:rsidP="002B7BBA">
      <w:pPr>
        <w:jc w:val="both"/>
        <w:rPr>
          <w:rFonts w:ascii="Arial" w:hAnsi="Arial" w:cs="Arial"/>
          <w:sz w:val="20"/>
        </w:rPr>
      </w:pPr>
      <w:r w:rsidRPr="00E61181">
        <w:rPr>
          <w:rFonts w:ascii="Arial" w:hAnsi="Arial" w:cs="Arial"/>
          <w:sz w:val="20"/>
        </w:rPr>
        <w:t xml:space="preserve">DIČ </w:t>
      </w:r>
      <w:r w:rsidRPr="00E61181">
        <w:rPr>
          <w:rFonts w:ascii="Arial" w:hAnsi="Arial" w:cs="Arial"/>
          <w:sz w:val="20"/>
        </w:rPr>
        <w:tab/>
      </w:r>
      <w:r w:rsidRPr="00E61181">
        <w:rPr>
          <w:rFonts w:ascii="Arial" w:hAnsi="Arial" w:cs="Arial"/>
          <w:sz w:val="20"/>
        </w:rPr>
        <w:tab/>
      </w:r>
      <w:r w:rsidRPr="00E61181"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>CZ25655108</w:t>
      </w:r>
    </w:p>
    <w:p w14:paraId="106AB9DF" w14:textId="77777777" w:rsidR="002B7BBA" w:rsidRPr="009E158E" w:rsidRDefault="002B7BBA" w:rsidP="002B7BBA">
      <w:pPr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(dále jen zhotovitel)</w:t>
      </w:r>
    </w:p>
    <w:p w14:paraId="00F39656" w14:textId="77777777" w:rsidR="00C04D78" w:rsidRDefault="00C04D78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</w:p>
    <w:p w14:paraId="13C7289D" w14:textId="01817454" w:rsidR="00042E04" w:rsidRDefault="00C04D78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  <w:r w:rsidRPr="00C04D78">
        <w:rPr>
          <w:rFonts w:ascii="Arial" w:hAnsi="Arial" w:cs="Arial"/>
          <w:sz w:val="20"/>
        </w:rPr>
        <w:t>uzavírají dnešního dne ve vzájemném konsenzu t</w:t>
      </w:r>
      <w:r>
        <w:rPr>
          <w:rFonts w:ascii="Arial" w:hAnsi="Arial" w:cs="Arial"/>
          <w:sz w:val="20"/>
        </w:rPr>
        <w:t>ento</w:t>
      </w:r>
    </w:p>
    <w:p w14:paraId="48E71509" w14:textId="77777777" w:rsidR="00AA6DBC" w:rsidRDefault="00AA6DBC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</w:p>
    <w:p w14:paraId="789E376F" w14:textId="7A7E2FA7" w:rsidR="005621C5" w:rsidRPr="009E158E" w:rsidRDefault="000B4095" w:rsidP="00C04D78">
      <w:pPr>
        <w:tabs>
          <w:tab w:val="left" w:pos="284"/>
          <w:tab w:val="left" w:pos="2127"/>
        </w:tabs>
        <w:jc w:val="center"/>
        <w:rPr>
          <w:rFonts w:ascii="Arial" w:hAnsi="Arial" w:cs="Arial"/>
          <w:sz w:val="20"/>
        </w:rPr>
      </w:pPr>
      <w:r w:rsidRPr="00B5023B">
        <w:rPr>
          <w:rFonts w:ascii="Arial" w:hAnsi="Arial" w:cs="Arial"/>
          <w:b/>
          <w:bCs/>
          <w:szCs w:val="22"/>
        </w:rPr>
        <w:t xml:space="preserve">Dodatek č. 1 ke Smlouvě č. THS </w:t>
      </w:r>
      <w:r w:rsidR="002B7BBA">
        <w:rPr>
          <w:rFonts w:ascii="Arial" w:hAnsi="Arial" w:cs="Arial"/>
          <w:b/>
          <w:bCs/>
          <w:szCs w:val="22"/>
        </w:rPr>
        <w:t>SO</w:t>
      </w:r>
      <w:r w:rsidRPr="00B5023B">
        <w:rPr>
          <w:rFonts w:ascii="Arial" w:hAnsi="Arial" w:cs="Arial"/>
          <w:b/>
          <w:bCs/>
          <w:szCs w:val="22"/>
        </w:rPr>
        <w:t xml:space="preserve"> </w:t>
      </w:r>
      <w:r w:rsidR="002B7BBA">
        <w:rPr>
          <w:rFonts w:ascii="Arial" w:hAnsi="Arial" w:cs="Arial"/>
          <w:b/>
          <w:bCs/>
          <w:szCs w:val="22"/>
        </w:rPr>
        <w:t>08</w:t>
      </w:r>
      <w:r w:rsidR="00F01722">
        <w:rPr>
          <w:rFonts w:ascii="Arial" w:hAnsi="Arial" w:cs="Arial"/>
          <w:b/>
          <w:bCs/>
          <w:szCs w:val="22"/>
        </w:rPr>
        <w:t>/2024</w:t>
      </w:r>
      <w:r>
        <w:rPr>
          <w:rFonts w:ascii="Arial" w:hAnsi="Arial" w:cs="Arial"/>
          <w:b/>
          <w:bCs/>
          <w:szCs w:val="22"/>
        </w:rPr>
        <w:t xml:space="preserve"> (dále také jen „dodatek</w:t>
      </w:r>
      <w:r w:rsidR="003A2C6D">
        <w:rPr>
          <w:rFonts w:ascii="Arial" w:hAnsi="Arial" w:cs="Arial"/>
          <w:b/>
          <w:bCs/>
          <w:szCs w:val="22"/>
        </w:rPr>
        <w:t>“</w:t>
      </w:r>
      <w:r>
        <w:rPr>
          <w:rFonts w:ascii="Arial" w:hAnsi="Arial" w:cs="Arial"/>
          <w:b/>
          <w:bCs/>
          <w:szCs w:val="22"/>
        </w:rPr>
        <w:t>)</w:t>
      </w:r>
    </w:p>
    <w:p w14:paraId="5A6DC881" w14:textId="1DD32392" w:rsidR="00BA73B8" w:rsidRDefault="00BA73B8" w:rsidP="00C04D78">
      <w:pPr>
        <w:pStyle w:val="Zkladntextodsazen"/>
        <w:ind w:left="0"/>
        <w:jc w:val="center"/>
        <w:rPr>
          <w:rFonts w:ascii="Arial" w:hAnsi="Arial" w:cs="Arial"/>
          <w:b/>
          <w:sz w:val="20"/>
        </w:rPr>
      </w:pPr>
      <w:r w:rsidRPr="009E158E">
        <w:rPr>
          <w:rFonts w:ascii="Arial" w:hAnsi="Arial" w:cs="Arial"/>
          <w:b/>
          <w:sz w:val="20"/>
        </w:rPr>
        <w:t>podle ustanovení</w:t>
      </w:r>
      <w:r>
        <w:rPr>
          <w:rFonts w:ascii="Arial" w:hAnsi="Arial" w:cs="Arial"/>
          <w:b/>
          <w:sz w:val="20"/>
        </w:rPr>
        <w:t xml:space="preserve"> </w:t>
      </w:r>
      <w:r w:rsidRPr="009E158E">
        <w:rPr>
          <w:rFonts w:ascii="Arial" w:hAnsi="Arial" w:cs="Arial"/>
          <w:b/>
          <w:sz w:val="20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9E158E">
          <w:rPr>
            <w:rFonts w:ascii="Arial" w:hAnsi="Arial" w:cs="Arial"/>
            <w:b/>
            <w:sz w:val="20"/>
          </w:rPr>
          <w:t>2586 a</w:t>
        </w:r>
      </w:smartTag>
      <w:r>
        <w:rPr>
          <w:rFonts w:ascii="Arial" w:hAnsi="Arial" w:cs="Arial"/>
          <w:b/>
          <w:sz w:val="20"/>
        </w:rPr>
        <w:t xml:space="preserve"> násl.</w:t>
      </w:r>
      <w:r w:rsidRPr="009E158E">
        <w:rPr>
          <w:rFonts w:ascii="Arial" w:hAnsi="Arial" w:cs="Arial"/>
          <w:b/>
          <w:sz w:val="20"/>
        </w:rPr>
        <w:t xml:space="preserve"> zákona č. 89/2012 Sb.</w:t>
      </w:r>
      <w:r>
        <w:rPr>
          <w:rFonts w:ascii="Arial" w:hAnsi="Arial" w:cs="Arial"/>
          <w:b/>
          <w:sz w:val="20"/>
        </w:rPr>
        <w:t>, občanského zákoníku, ve znění</w:t>
      </w:r>
    </w:p>
    <w:p w14:paraId="40B1E2EA" w14:textId="48084FB6" w:rsidR="004B44C0" w:rsidRPr="009E158E" w:rsidRDefault="00BA73B8" w:rsidP="00C04D78">
      <w:pPr>
        <w:pStyle w:val="Zkladntextodsazen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pozdějších předpisů, (dále jen „občanský zákoník“)</w:t>
      </w:r>
    </w:p>
    <w:p w14:paraId="035B13FD" w14:textId="3A907917" w:rsidR="00CE4322" w:rsidRDefault="00CE4322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0"/>
        </w:rPr>
      </w:pPr>
    </w:p>
    <w:p w14:paraId="2EC7E2FB" w14:textId="77777777" w:rsidR="00AA6DBC" w:rsidRPr="009E158E" w:rsidRDefault="00AA6DBC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0"/>
        </w:rPr>
      </w:pPr>
    </w:p>
    <w:p w14:paraId="581A7061" w14:textId="4F08A3A4" w:rsidR="00562FAB" w:rsidRDefault="004B44C0" w:rsidP="009820A4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 xml:space="preserve">II. </w:t>
      </w:r>
      <w:r w:rsidRPr="009E158E">
        <w:rPr>
          <w:rFonts w:ascii="Arial" w:hAnsi="Arial" w:cs="Arial"/>
          <w:b/>
          <w:sz w:val="20"/>
        </w:rPr>
        <w:tab/>
      </w:r>
      <w:r w:rsidR="000B4095">
        <w:rPr>
          <w:rFonts w:ascii="Arial" w:hAnsi="Arial" w:cs="Arial"/>
          <w:b/>
          <w:sz w:val="20"/>
          <w:u w:val="single"/>
        </w:rPr>
        <w:t>Předmět dodatku</w:t>
      </w:r>
      <w:r w:rsidR="00570950">
        <w:rPr>
          <w:rFonts w:ascii="Arial" w:hAnsi="Arial" w:cs="Arial"/>
          <w:b/>
          <w:sz w:val="20"/>
          <w:u w:val="single"/>
        </w:rPr>
        <w:t xml:space="preserve"> č. 1</w:t>
      </w:r>
      <w:r w:rsidRPr="009E158E">
        <w:rPr>
          <w:rFonts w:ascii="Arial" w:hAnsi="Arial" w:cs="Arial"/>
          <w:b/>
          <w:sz w:val="20"/>
          <w:u w:val="single"/>
        </w:rPr>
        <w:t xml:space="preserve"> </w:t>
      </w:r>
    </w:p>
    <w:p w14:paraId="4CBC1B6C" w14:textId="77777777" w:rsidR="005621C5" w:rsidRPr="009E158E" w:rsidRDefault="005621C5" w:rsidP="009820A4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0"/>
          <w:u w:val="single"/>
        </w:rPr>
      </w:pPr>
    </w:p>
    <w:p w14:paraId="4FA35D72" w14:textId="0D838EFE" w:rsidR="00F26EDE" w:rsidRPr="00F26EDE" w:rsidRDefault="000B4095" w:rsidP="00E729AB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</w:rPr>
      </w:pPr>
      <w:r w:rsidRPr="000B4095">
        <w:rPr>
          <w:rFonts w:ascii="Arial" w:hAnsi="Arial" w:cs="Arial"/>
          <w:sz w:val="20"/>
          <w:szCs w:val="22"/>
        </w:rPr>
        <w:t>V</w:t>
      </w:r>
      <w:r w:rsidR="00F01722">
        <w:rPr>
          <w:rFonts w:ascii="Arial" w:hAnsi="Arial" w:cs="Arial"/>
          <w:sz w:val="20"/>
          <w:szCs w:val="22"/>
        </w:rPr>
        <w:t> </w:t>
      </w:r>
      <w:r w:rsidRPr="000B4095">
        <w:rPr>
          <w:rFonts w:ascii="Arial" w:hAnsi="Arial" w:cs="Arial"/>
          <w:sz w:val="20"/>
          <w:szCs w:val="22"/>
        </w:rPr>
        <w:t>důsledku</w:t>
      </w:r>
      <w:r w:rsidR="00F01722">
        <w:rPr>
          <w:rFonts w:ascii="Arial" w:hAnsi="Arial" w:cs="Arial"/>
          <w:sz w:val="20"/>
          <w:szCs w:val="22"/>
        </w:rPr>
        <w:t xml:space="preserve"> </w:t>
      </w:r>
      <w:r w:rsidR="00F26EDE">
        <w:rPr>
          <w:rFonts w:ascii="Arial" w:hAnsi="Arial" w:cs="Arial"/>
          <w:sz w:val="20"/>
          <w:szCs w:val="22"/>
        </w:rPr>
        <w:t xml:space="preserve">námitek sdělených účastníkem stavebního řízení při opakovaných osobních jednáních </w:t>
      </w:r>
      <w:r w:rsidR="00EB308D">
        <w:rPr>
          <w:rFonts w:ascii="Arial" w:hAnsi="Arial" w:cs="Arial"/>
          <w:sz w:val="20"/>
          <w:szCs w:val="22"/>
        </w:rPr>
        <w:t>došlo k</w:t>
      </w:r>
      <w:r w:rsidR="00F26EDE">
        <w:rPr>
          <w:rFonts w:ascii="Arial" w:hAnsi="Arial" w:cs="Arial"/>
          <w:sz w:val="20"/>
          <w:szCs w:val="22"/>
        </w:rPr>
        <w:t xml:space="preserve"> zastaven</w:t>
      </w:r>
      <w:r w:rsidR="00EB308D">
        <w:rPr>
          <w:rFonts w:ascii="Arial" w:hAnsi="Arial" w:cs="Arial"/>
          <w:sz w:val="20"/>
          <w:szCs w:val="22"/>
        </w:rPr>
        <w:t>í</w:t>
      </w:r>
      <w:r w:rsidR="00F26EDE">
        <w:rPr>
          <w:rFonts w:ascii="Arial" w:hAnsi="Arial" w:cs="Arial"/>
          <w:sz w:val="20"/>
          <w:szCs w:val="22"/>
        </w:rPr>
        <w:t xml:space="preserve"> řízení Magistrátu hl. m. Prahy </w:t>
      </w:r>
      <w:r w:rsidR="00EB308D">
        <w:rPr>
          <w:rFonts w:ascii="Arial" w:hAnsi="Arial" w:cs="Arial"/>
          <w:sz w:val="20"/>
          <w:szCs w:val="22"/>
        </w:rPr>
        <w:t xml:space="preserve">ve věci </w:t>
      </w:r>
      <w:r w:rsidR="00F26EDE">
        <w:rPr>
          <w:rFonts w:ascii="Arial" w:hAnsi="Arial" w:cs="Arial"/>
          <w:sz w:val="20"/>
          <w:szCs w:val="22"/>
        </w:rPr>
        <w:t xml:space="preserve">žádosti </w:t>
      </w:r>
      <w:r w:rsidR="00F26EDE" w:rsidRPr="00F26EDE">
        <w:rPr>
          <w:rFonts w:ascii="Arial" w:hAnsi="Arial" w:cs="Arial"/>
          <w:sz w:val="20"/>
          <w:szCs w:val="22"/>
        </w:rPr>
        <w:t>o vydání koordinovaného závazného stanoviska podle § 176 stavebního zákona</w:t>
      </w:r>
      <w:r w:rsidR="00EB308D">
        <w:rPr>
          <w:rFonts w:ascii="Arial" w:hAnsi="Arial" w:cs="Arial"/>
          <w:sz w:val="20"/>
          <w:szCs w:val="22"/>
        </w:rPr>
        <w:t xml:space="preserve">. Tyto námitky a zastavení řízení nemohl zhotovitel i přes vyvinutou činnost ovlivnit a proto se v souladu s čl. V. Smlouvy a jejími přílohami smluvní strany dohodly na úpravě technického řešení, posunu termínu pro dokončení díla a na změnách v dílčí fakturaci díla. </w:t>
      </w:r>
      <w:r w:rsidR="00A31AD1">
        <w:rPr>
          <w:rFonts w:ascii="Arial" w:hAnsi="Arial" w:cs="Arial"/>
          <w:sz w:val="20"/>
          <w:szCs w:val="22"/>
        </w:rPr>
        <w:t xml:space="preserve">Změny technického řešení spočívají zejména ve změně pozic automatických pasivních bariér před vjezdem do zásobovacího tunelu Státní opery (SO) z ulice Vinohradská, v úpravě rozsahu pevných prosklených bariér v kamenném zábradlí a ve zrušení plánovaných zásahů do stávajícího proskleného zábradlí před vjezdem do tunelu SO. </w:t>
      </w:r>
      <w:r w:rsidR="00EB308D">
        <w:rPr>
          <w:rFonts w:ascii="Arial" w:hAnsi="Arial" w:cs="Arial"/>
          <w:sz w:val="20"/>
          <w:szCs w:val="22"/>
        </w:rPr>
        <w:t xml:space="preserve">Tyto změny </w:t>
      </w:r>
      <w:r w:rsidR="00621978">
        <w:rPr>
          <w:rFonts w:ascii="Arial" w:hAnsi="Arial" w:cs="Arial"/>
          <w:sz w:val="20"/>
          <w:szCs w:val="22"/>
        </w:rPr>
        <w:t xml:space="preserve">mají vliv na cenu </w:t>
      </w:r>
      <w:r w:rsidR="000A6312">
        <w:rPr>
          <w:rFonts w:ascii="Arial" w:hAnsi="Arial" w:cs="Arial"/>
          <w:sz w:val="20"/>
          <w:szCs w:val="22"/>
        </w:rPr>
        <w:t>dotčených</w:t>
      </w:r>
      <w:r w:rsidR="00621978">
        <w:rPr>
          <w:rFonts w:ascii="Arial" w:hAnsi="Arial" w:cs="Arial"/>
          <w:sz w:val="20"/>
          <w:szCs w:val="22"/>
        </w:rPr>
        <w:t xml:space="preserve"> částí díla, ale celková cena díla</w:t>
      </w:r>
      <w:r w:rsidR="00EB308D">
        <w:rPr>
          <w:rFonts w:ascii="Arial" w:hAnsi="Arial" w:cs="Arial"/>
          <w:sz w:val="20"/>
          <w:szCs w:val="22"/>
        </w:rPr>
        <w:t xml:space="preserve"> </w:t>
      </w:r>
      <w:r w:rsidR="00621978">
        <w:rPr>
          <w:rFonts w:ascii="Arial" w:hAnsi="Arial" w:cs="Arial"/>
          <w:sz w:val="20"/>
          <w:szCs w:val="22"/>
        </w:rPr>
        <w:t>zůstává neměnná</w:t>
      </w:r>
      <w:r w:rsidR="00EB308D">
        <w:rPr>
          <w:rFonts w:ascii="Arial" w:hAnsi="Arial" w:cs="Arial"/>
          <w:sz w:val="20"/>
          <w:szCs w:val="22"/>
        </w:rPr>
        <w:t>.</w:t>
      </w:r>
    </w:p>
    <w:p w14:paraId="22E7424F" w14:textId="77777777" w:rsidR="00E56EE4" w:rsidRDefault="00E56EE4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</w:rPr>
      </w:pPr>
    </w:p>
    <w:p w14:paraId="40E0BD85" w14:textId="01F4C1AB" w:rsidR="00562FAB" w:rsidRDefault="004B44C0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>I</w:t>
      </w:r>
      <w:r w:rsidR="000B4095">
        <w:rPr>
          <w:rFonts w:ascii="Arial" w:hAnsi="Arial" w:cs="Arial"/>
          <w:b/>
          <w:sz w:val="20"/>
        </w:rPr>
        <w:t>II</w:t>
      </w:r>
      <w:r w:rsidRPr="009E158E">
        <w:rPr>
          <w:rFonts w:ascii="Arial" w:hAnsi="Arial" w:cs="Arial"/>
          <w:b/>
          <w:sz w:val="20"/>
        </w:rPr>
        <w:t>.</w:t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b/>
          <w:sz w:val="20"/>
          <w:u w:val="single"/>
        </w:rPr>
        <w:t xml:space="preserve">Ujednání o </w:t>
      </w:r>
      <w:r w:rsidR="000B4095">
        <w:rPr>
          <w:rFonts w:ascii="Arial" w:hAnsi="Arial" w:cs="Arial"/>
          <w:b/>
          <w:sz w:val="20"/>
          <w:u w:val="single"/>
        </w:rPr>
        <w:t>změně smlouvy</w:t>
      </w:r>
    </w:p>
    <w:p w14:paraId="08D3635F" w14:textId="77777777" w:rsidR="00EC0E51" w:rsidRPr="009E158E" w:rsidRDefault="00EC0E51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  <w:u w:val="single"/>
        </w:rPr>
      </w:pPr>
    </w:p>
    <w:p w14:paraId="5CF2E8AC" w14:textId="096C13C7" w:rsidR="009E226D" w:rsidRDefault="000B4095" w:rsidP="00E729AB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A71">
        <w:rPr>
          <w:rFonts w:ascii="Arial" w:hAnsi="Arial" w:cs="Arial"/>
          <w:sz w:val="20"/>
          <w:szCs w:val="22"/>
        </w:rPr>
        <w:t xml:space="preserve">Stávající </w:t>
      </w:r>
      <w:r w:rsidR="00D24B52" w:rsidRPr="00544A71">
        <w:rPr>
          <w:rFonts w:ascii="Arial" w:hAnsi="Arial" w:cs="Arial"/>
          <w:sz w:val="20"/>
          <w:szCs w:val="22"/>
        </w:rPr>
        <w:t>odst.</w:t>
      </w:r>
      <w:r w:rsidRPr="00544A71">
        <w:rPr>
          <w:rFonts w:ascii="Arial" w:hAnsi="Arial" w:cs="Arial"/>
          <w:sz w:val="20"/>
          <w:szCs w:val="22"/>
        </w:rPr>
        <w:t xml:space="preserve"> 2.</w:t>
      </w:r>
      <w:r w:rsidR="007C26F7">
        <w:rPr>
          <w:rFonts w:ascii="Arial" w:hAnsi="Arial" w:cs="Arial"/>
          <w:sz w:val="20"/>
          <w:szCs w:val="22"/>
        </w:rPr>
        <w:t>2. písm. b)</w:t>
      </w:r>
      <w:r w:rsidRPr="00544A71">
        <w:rPr>
          <w:rFonts w:ascii="Arial" w:hAnsi="Arial" w:cs="Arial"/>
          <w:sz w:val="20"/>
          <w:szCs w:val="22"/>
        </w:rPr>
        <w:t xml:space="preserve"> čl</w:t>
      </w:r>
      <w:r w:rsidR="00B6391A" w:rsidRPr="00544A71">
        <w:rPr>
          <w:rFonts w:ascii="Arial" w:hAnsi="Arial" w:cs="Arial"/>
          <w:sz w:val="20"/>
          <w:szCs w:val="22"/>
        </w:rPr>
        <w:t>.</w:t>
      </w:r>
      <w:r w:rsidR="007C26F7">
        <w:rPr>
          <w:rFonts w:ascii="Arial" w:hAnsi="Arial" w:cs="Arial"/>
          <w:sz w:val="20"/>
          <w:szCs w:val="22"/>
        </w:rPr>
        <w:t xml:space="preserve"> II</w:t>
      </w:r>
      <w:r w:rsidRPr="00544A71">
        <w:rPr>
          <w:rFonts w:ascii="Arial" w:hAnsi="Arial" w:cs="Arial"/>
          <w:sz w:val="20"/>
          <w:szCs w:val="22"/>
        </w:rPr>
        <w:t xml:space="preserve">. </w:t>
      </w:r>
      <w:r w:rsidR="007C26F7">
        <w:rPr>
          <w:rFonts w:ascii="Arial" w:hAnsi="Arial" w:cs="Arial"/>
          <w:sz w:val="20"/>
          <w:szCs w:val="22"/>
        </w:rPr>
        <w:t>Předmět smlouvy</w:t>
      </w:r>
      <w:r w:rsidR="002A13D6" w:rsidRPr="00544A71">
        <w:rPr>
          <w:rFonts w:ascii="Arial" w:hAnsi="Arial" w:cs="Arial"/>
          <w:sz w:val="20"/>
          <w:szCs w:val="22"/>
        </w:rPr>
        <w:t xml:space="preserve"> </w:t>
      </w:r>
      <w:r w:rsidRPr="00544A71">
        <w:rPr>
          <w:rFonts w:ascii="Arial" w:hAnsi="Arial" w:cs="Arial"/>
          <w:sz w:val="20"/>
          <w:szCs w:val="22"/>
        </w:rPr>
        <w:t xml:space="preserve">se </w:t>
      </w:r>
      <w:r w:rsidR="002A13D6" w:rsidRPr="00544A71">
        <w:rPr>
          <w:rFonts w:ascii="Arial" w:hAnsi="Arial" w:cs="Arial"/>
          <w:sz w:val="20"/>
          <w:szCs w:val="22"/>
        </w:rPr>
        <w:t xml:space="preserve">mění </w:t>
      </w:r>
      <w:r w:rsidR="00E729AB">
        <w:rPr>
          <w:rFonts w:ascii="Arial" w:hAnsi="Arial" w:cs="Arial"/>
          <w:sz w:val="20"/>
          <w:szCs w:val="22"/>
        </w:rPr>
        <w:t>následovně:</w:t>
      </w:r>
    </w:p>
    <w:p w14:paraId="2BF54847" w14:textId="77777777" w:rsidR="00E729AB" w:rsidRPr="00544A71" w:rsidRDefault="00E729AB" w:rsidP="00E729AB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</w:p>
    <w:p w14:paraId="53F59578" w14:textId="34A5821B" w:rsidR="00E729AB" w:rsidRPr="00E729AB" w:rsidRDefault="00E729AB" w:rsidP="00E729AB">
      <w:pPr>
        <w:tabs>
          <w:tab w:val="left" w:pos="-6237"/>
          <w:tab w:val="left" w:pos="-6096"/>
        </w:tabs>
        <w:ind w:left="360"/>
        <w:jc w:val="both"/>
        <w:rPr>
          <w:rFonts w:ascii="Arial" w:hAnsi="Arial" w:cs="Arial"/>
          <w:bCs/>
          <w:sz w:val="20"/>
        </w:rPr>
      </w:pPr>
      <w:r w:rsidRPr="00E729AB">
        <w:rPr>
          <w:rFonts w:ascii="Arial" w:hAnsi="Arial" w:cs="Arial"/>
          <w:bCs/>
          <w:sz w:val="20"/>
        </w:rPr>
        <w:t>Provedení pevných průhledných prosklených bariér pro zabezpečení (utěsnění) otvorů v kamenném zábradlí u chodníků ulic Vinohradská a Legerova a zabránění průniku tekoucí přívalové vody na parter před provozní budovou Státní opery. Skleněné výplně bariér budou osazeny do antikorozních rámů. Prosklené bariéry budou realizovány v souladu s PD, která zohlední požadavky uvedené v přílohách č. 1 a 2 této smlouvy. Realizace zahrnuje mj.:</w:t>
      </w:r>
    </w:p>
    <w:p w14:paraId="0F740BF1" w14:textId="77777777" w:rsidR="00E729AB" w:rsidRDefault="00E729AB" w:rsidP="00E729AB">
      <w:pPr>
        <w:pStyle w:val="Odstavecseseznamem"/>
        <w:numPr>
          <w:ilvl w:val="0"/>
          <w:numId w:val="4"/>
        </w:numPr>
        <w:tabs>
          <w:tab w:val="left" w:pos="-6237"/>
          <w:tab w:val="left" w:pos="-6096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optimalizaci požadavků na stavební připravenost,</w:t>
      </w:r>
    </w:p>
    <w:p w14:paraId="71FACCE0" w14:textId="77777777" w:rsidR="00E729AB" w:rsidRDefault="00E729AB" w:rsidP="00E729AB">
      <w:pPr>
        <w:pStyle w:val="Odstavecseseznamem"/>
        <w:numPr>
          <w:ilvl w:val="0"/>
          <w:numId w:val="4"/>
        </w:numPr>
        <w:tabs>
          <w:tab w:val="left" w:pos="-6237"/>
          <w:tab w:val="left" w:pos="-6096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>vytvoření realizační dokumentace pro schválení před výrobou,</w:t>
      </w:r>
    </w:p>
    <w:p w14:paraId="3D92B3A6" w14:textId="77777777" w:rsidR="00E729AB" w:rsidRDefault="00E729AB" w:rsidP="00E729AB">
      <w:pPr>
        <w:pStyle w:val="Odstavecseseznamem"/>
        <w:numPr>
          <w:ilvl w:val="0"/>
          <w:numId w:val="4"/>
        </w:numPr>
        <w:tabs>
          <w:tab w:val="left" w:pos="-6237"/>
          <w:tab w:val="left" w:pos="-6096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výrobu skleněných výplní vč. antikorozních rámů,</w:t>
      </w:r>
    </w:p>
    <w:p w14:paraId="41D89B39" w14:textId="77777777" w:rsidR="00E729AB" w:rsidRDefault="00E729AB" w:rsidP="00E729AB">
      <w:pPr>
        <w:pStyle w:val="Odstavecseseznamem"/>
        <w:numPr>
          <w:ilvl w:val="0"/>
          <w:numId w:val="4"/>
        </w:numPr>
        <w:tabs>
          <w:tab w:val="left" w:pos="-6237"/>
          <w:tab w:val="left" w:pos="-6096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součinnost se subdodavateli,</w:t>
      </w:r>
    </w:p>
    <w:p w14:paraId="2DC79FEB" w14:textId="77777777" w:rsidR="00E729AB" w:rsidRDefault="00E729AB" w:rsidP="00E729AB">
      <w:pPr>
        <w:pStyle w:val="Odstavecseseznamem"/>
        <w:numPr>
          <w:ilvl w:val="0"/>
          <w:numId w:val="4"/>
        </w:numPr>
        <w:tabs>
          <w:tab w:val="left" w:pos="-6237"/>
          <w:tab w:val="left" w:pos="-6096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dopravu a manipulaci,</w:t>
      </w:r>
    </w:p>
    <w:p w14:paraId="5E4EB56A" w14:textId="77777777" w:rsidR="00E729AB" w:rsidRDefault="00E729AB" w:rsidP="00E729AB">
      <w:pPr>
        <w:pStyle w:val="Odstavecseseznamem"/>
        <w:numPr>
          <w:ilvl w:val="0"/>
          <w:numId w:val="4"/>
        </w:numPr>
        <w:tabs>
          <w:tab w:val="left" w:pos="-6237"/>
          <w:tab w:val="left" w:pos="-6096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montáž a zatěsnění,</w:t>
      </w:r>
    </w:p>
    <w:p w14:paraId="0C928272" w14:textId="77777777" w:rsidR="00E729AB" w:rsidRDefault="00E729AB" w:rsidP="00E729AB">
      <w:pPr>
        <w:pStyle w:val="Odstavecseseznamem"/>
        <w:numPr>
          <w:ilvl w:val="0"/>
          <w:numId w:val="4"/>
        </w:numPr>
        <w:tabs>
          <w:tab w:val="left" w:pos="-6237"/>
          <w:tab w:val="left" w:pos="-6096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zaškolení obsluhy,</w:t>
      </w:r>
    </w:p>
    <w:p w14:paraId="5B4A990E" w14:textId="77777777" w:rsidR="00E729AB" w:rsidRPr="00E729AB" w:rsidRDefault="00E729AB" w:rsidP="00E729AB">
      <w:pPr>
        <w:pStyle w:val="Odstavecseseznamem"/>
        <w:numPr>
          <w:ilvl w:val="0"/>
          <w:numId w:val="4"/>
        </w:numPr>
        <w:tabs>
          <w:tab w:val="left" w:pos="-6237"/>
          <w:tab w:val="left" w:pos="-6096"/>
        </w:tabs>
        <w:jc w:val="both"/>
        <w:rPr>
          <w:rFonts w:ascii="Arial" w:hAnsi="Arial" w:cs="Arial"/>
          <w:bCs/>
          <w:sz w:val="20"/>
        </w:rPr>
      </w:pPr>
      <w:r w:rsidRPr="00E729AB">
        <w:rPr>
          <w:rFonts w:ascii="Arial" w:hAnsi="Arial" w:cs="Arial"/>
          <w:bCs/>
          <w:sz w:val="20"/>
        </w:rPr>
        <w:t>dokumentaci skutečného provedení,</w:t>
      </w:r>
    </w:p>
    <w:p w14:paraId="1176E770" w14:textId="4252F427" w:rsidR="00552878" w:rsidRDefault="00E729AB" w:rsidP="00E729AB">
      <w:pPr>
        <w:pStyle w:val="Odstavecseseznamem"/>
        <w:numPr>
          <w:ilvl w:val="0"/>
          <w:numId w:val="4"/>
        </w:numPr>
        <w:tabs>
          <w:tab w:val="left" w:pos="-6237"/>
          <w:tab w:val="left" w:pos="-6096"/>
        </w:tabs>
        <w:jc w:val="both"/>
        <w:rPr>
          <w:rFonts w:ascii="Arial" w:hAnsi="Arial" w:cs="Arial"/>
          <w:bCs/>
          <w:sz w:val="20"/>
        </w:rPr>
      </w:pPr>
      <w:r w:rsidRPr="00E729AB">
        <w:rPr>
          <w:rFonts w:ascii="Arial" w:hAnsi="Arial" w:cs="Arial"/>
          <w:bCs/>
          <w:sz w:val="20"/>
        </w:rPr>
        <w:t>návod na obsluhu a údržbu prosklených bariér.</w:t>
      </w:r>
    </w:p>
    <w:p w14:paraId="036D611A" w14:textId="77777777" w:rsidR="00E729AB" w:rsidRPr="00E729AB" w:rsidRDefault="00E729AB" w:rsidP="00E729AB">
      <w:pPr>
        <w:pStyle w:val="Odstavecseseznamem"/>
        <w:tabs>
          <w:tab w:val="left" w:pos="-6237"/>
          <w:tab w:val="left" w:pos="-6096"/>
        </w:tabs>
        <w:ind w:left="1789"/>
        <w:jc w:val="both"/>
        <w:rPr>
          <w:rFonts w:ascii="Arial" w:hAnsi="Arial" w:cs="Arial"/>
          <w:bCs/>
          <w:sz w:val="20"/>
        </w:rPr>
      </w:pPr>
    </w:p>
    <w:p w14:paraId="565DF5DF" w14:textId="4DD42247" w:rsidR="00552878" w:rsidRDefault="00552878" w:rsidP="00E729AB">
      <w:pPr>
        <w:numPr>
          <w:ilvl w:val="0"/>
          <w:numId w:val="1"/>
        </w:numPr>
        <w:tabs>
          <w:tab w:val="left" w:pos="-609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9C7408">
        <w:rPr>
          <w:rFonts w:ascii="Arial" w:hAnsi="Arial" w:cs="Arial"/>
          <w:sz w:val="20"/>
        </w:rPr>
        <w:t>távající odst. 2. čl. V. Doba plnění díla</w:t>
      </w:r>
      <w:r>
        <w:rPr>
          <w:rFonts w:ascii="Arial" w:hAnsi="Arial" w:cs="Arial"/>
          <w:sz w:val="20"/>
        </w:rPr>
        <w:t xml:space="preserve"> se mění následovně:</w:t>
      </w:r>
    </w:p>
    <w:p w14:paraId="33781071" w14:textId="77777777" w:rsidR="0001560A" w:rsidRDefault="0001560A" w:rsidP="00544A71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</w:rPr>
      </w:pPr>
    </w:p>
    <w:p w14:paraId="0E3DADD3" w14:textId="103A9BCF" w:rsidR="00552878" w:rsidRDefault="009C7408" w:rsidP="00544A71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 w:rsidRPr="00AE654F">
        <w:rPr>
          <w:rFonts w:ascii="Arial" w:hAnsi="Arial" w:cs="Arial"/>
          <w:sz w:val="20"/>
        </w:rPr>
        <w:t>Dokončení díla</w:t>
      </w:r>
      <w:r w:rsidRPr="00AE654F">
        <w:rPr>
          <w:rFonts w:ascii="Arial" w:hAnsi="Arial" w:cs="Arial"/>
          <w:b/>
          <w:sz w:val="20"/>
        </w:rPr>
        <w:tab/>
      </w:r>
      <w:r w:rsidRPr="009C7408">
        <w:rPr>
          <w:rFonts w:ascii="Arial" w:hAnsi="Arial" w:cs="Arial"/>
          <w:b/>
          <w:sz w:val="20"/>
          <w:szCs w:val="22"/>
        </w:rPr>
        <w:t>do 6 měsíců od vydání stavebního povolení, nejdéle však do 12/2025</w:t>
      </w:r>
    </w:p>
    <w:p w14:paraId="64376052" w14:textId="5A94AD85" w:rsidR="009C4083" w:rsidRDefault="009C4083" w:rsidP="00544A71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</w:p>
    <w:p w14:paraId="5BDE8879" w14:textId="337BC112" w:rsidR="009C4083" w:rsidRDefault="00DC130D" w:rsidP="00E729AB">
      <w:pPr>
        <w:numPr>
          <w:ilvl w:val="0"/>
          <w:numId w:val="1"/>
        </w:numPr>
        <w:tabs>
          <w:tab w:val="left" w:pos="-609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Stávající odst. 1. čl. V</w:t>
      </w:r>
      <w:r w:rsidR="009C4083">
        <w:rPr>
          <w:rFonts w:ascii="Arial" w:hAnsi="Arial" w:cs="Arial"/>
          <w:sz w:val="20"/>
        </w:rPr>
        <w:t xml:space="preserve">I. </w:t>
      </w:r>
      <w:r>
        <w:rPr>
          <w:rFonts w:ascii="Arial" w:hAnsi="Arial" w:cs="Arial"/>
          <w:sz w:val="20"/>
        </w:rPr>
        <w:t>Cena za dílo</w:t>
      </w:r>
      <w:r w:rsidR="009C4083">
        <w:rPr>
          <w:rFonts w:ascii="Arial" w:hAnsi="Arial" w:cs="Arial"/>
          <w:sz w:val="20"/>
        </w:rPr>
        <w:t xml:space="preserve"> se mění následovně:</w:t>
      </w:r>
    </w:p>
    <w:p w14:paraId="2DAAA02A" w14:textId="77777777" w:rsidR="00800F50" w:rsidRDefault="00800F50" w:rsidP="00800F50">
      <w:pPr>
        <w:tabs>
          <w:tab w:val="left" w:pos="-6096"/>
        </w:tabs>
        <w:ind w:left="360"/>
        <w:jc w:val="both"/>
        <w:rPr>
          <w:rFonts w:ascii="Arial" w:hAnsi="Arial" w:cs="Arial"/>
          <w:sz w:val="20"/>
        </w:rPr>
      </w:pPr>
    </w:p>
    <w:p w14:paraId="73DD4FEA" w14:textId="77777777" w:rsidR="00800F50" w:rsidRDefault="00800F50" w:rsidP="00800F50">
      <w:pPr>
        <w:ind w:left="360"/>
        <w:rPr>
          <w:rFonts w:ascii="Arial" w:hAnsi="Arial" w:cs="Arial"/>
          <w:sz w:val="20"/>
        </w:rPr>
      </w:pPr>
      <w:r w:rsidRPr="00302492">
        <w:rPr>
          <w:rFonts w:ascii="Arial" w:hAnsi="Arial" w:cs="Arial"/>
          <w:sz w:val="20"/>
        </w:rPr>
        <w:t>Za řádné (tj. bez vad a nedodělků) provedení díla dle čl. II. této smlouvy se sta</w:t>
      </w:r>
      <w:r>
        <w:rPr>
          <w:rFonts w:ascii="Arial" w:hAnsi="Arial" w:cs="Arial"/>
          <w:sz w:val="20"/>
        </w:rPr>
        <w:t>noví smluvní cena ve smyslu zákona</w:t>
      </w:r>
      <w:r w:rsidRPr="00302492">
        <w:rPr>
          <w:rFonts w:ascii="Arial" w:hAnsi="Arial" w:cs="Arial"/>
          <w:sz w:val="20"/>
        </w:rPr>
        <w:t xml:space="preserve"> č. 526/1990 Sb. o cenách</w:t>
      </w:r>
      <w:r>
        <w:rPr>
          <w:rFonts w:ascii="Arial" w:hAnsi="Arial" w:cs="Arial"/>
          <w:sz w:val="20"/>
        </w:rPr>
        <w:t>, ve znění pozdějších předpisů,</w:t>
      </w:r>
      <w:r w:rsidRPr="00302492">
        <w:rPr>
          <w:rFonts w:ascii="Arial" w:hAnsi="Arial" w:cs="Arial"/>
          <w:sz w:val="20"/>
        </w:rPr>
        <w:t xml:space="preserve"> ve výši</w:t>
      </w:r>
      <w:r>
        <w:rPr>
          <w:rFonts w:ascii="Arial" w:hAnsi="Arial" w:cs="Arial"/>
          <w:sz w:val="20"/>
        </w:rPr>
        <w:t>:</w:t>
      </w:r>
    </w:p>
    <w:p w14:paraId="0C4FC3FD" w14:textId="77777777" w:rsidR="00800F50" w:rsidRPr="00673810" w:rsidRDefault="00800F50" w:rsidP="00800F50">
      <w:pPr>
        <w:rPr>
          <w:rFonts w:ascii="Arial" w:hAnsi="Arial" w:cs="Arial"/>
          <w:sz w:val="20"/>
        </w:rPr>
      </w:pPr>
    </w:p>
    <w:p w14:paraId="6AD70EB2" w14:textId="77777777" w:rsidR="000D6A96" w:rsidRDefault="00800F50" w:rsidP="000D6A96">
      <w:pPr>
        <w:pStyle w:val="Odstavecseseznamem"/>
        <w:numPr>
          <w:ilvl w:val="1"/>
          <w:numId w:val="5"/>
        </w:numPr>
        <w:tabs>
          <w:tab w:val="left" w:pos="-6096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za dílo dle č. II. odst. 2.1</w:t>
      </w:r>
    </w:p>
    <w:p w14:paraId="42E1FB98" w14:textId="77777777" w:rsidR="000D6A96" w:rsidRDefault="000D6A96" w:rsidP="000D6A96">
      <w:pPr>
        <w:pStyle w:val="Odstavecseseznamem"/>
        <w:tabs>
          <w:tab w:val="left" w:pos="-6096"/>
        </w:tabs>
        <w:ind w:left="1440"/>
        <w:jc w:val="both"/>
        <w:rPr>
          <w:rFonts w:ascii="Arial" w:hAnsi="Arial" w:cs="Arial"/>
          <w:b/>
          <w:sz w:val="20"/>
        </w:rPr>
      </w:pPr>
    </w:p>
    <w:p w14:paraId="06AD8406" w14:textId="77777777" w:rsidR="000D6A96" w:rsidRDefault="000D6A96" w:rsidP="000D6A96">
      <w:pPr>
        <w:pStyle w:val="Odstavecseseznamem"/>
        <w:numPr>
          <w:ilvl w:val="2"/>
          <w:numId w:val="5"/>
        </w:numPr>
        <w:tabs>
          <w:tab w:val="left" w:pos="-6096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za dílo dle č. II. odst. 2.1</w:t>
      </w:r>
      <w:r w:rsidR="00800F50" w:rsidRPr="000D6A96">
        <w:rPr>
          <w:rFonts w:ascii="Arial" w:hAnsi="Arial" w:cs="Arial"/>
          <w:b/>
          <w:sz w:val="20"/>
        </w:rPr>
        <w:t>.a</w:t>
      </w:r>
      <w:r w:rsidR="00800F50" w:rsidRPr="000D6A96">
        <w:rPr>
          <w:rFonts w:ascii="Arial" w:hAnsi="Arial" w:cs="Arial"/>
          <w:b/>
          <w:sz w:val="20"/>
        </w:rPr>
        <w:tab/>
      </w:r>
      <w:r w:rsidR="00800F50" w:rsidRPr="000D6A96">
        <w:rPr>
          <w:rFonts w:ascii="Arial" w:hAnsi="Arial" w:cs="Arial"/>
          <w:b/>
          <w:sz w:val="20"/>
        </w:rPr>
        <w:tab/>
      </w:r>
      <w:r w:rsidR="00865B24" w:rsidRPr="000D6A96">
        <w:rPr>
          <w:rFonts w:ascii="Arial" w:hAnsi="Arial" w:cs="Arial"/>
          <w:b/>
          <w:sz w:val="20"/>
        </w:rPr>
        <w:t xml:space="preserve">   631 246</w:t>
      </w:r>
      <w:r w:rsidR="00800F50" w:rsidRPr="000D6A96">
        <w:rPr>
          <w:rFonts w:ascii="Arial" w:hAnsi="Arial" w:cs="Arial"/>
          <w:b/>
          <w:sz w:val="20"/>
        </w:rPr>
        <w:t xml:space="preserve"> Kč</w:t>
      </w:r>
    </w:p>
    <w:p w14:paraId="521F5280" w14:textId="77777777" w:rsidR="000D6A96" w:rsidRDefault="000D6A96" w:rsidP="000D6A96">
      <w:pPr>
        <w:pStyle w:val="Odstavecseseznamem"/>
        <w:tabs>
          <w:tab w:val="left" w:pos="-6096"/>
        </w:tabs>
        <w:ind w:left="2160"/>
        <w:jc w:val="both"/>
        <w:rPr>
          <w:rFonts w:ascii="Arial" w:hAnsi="Arial" w:cs="Arial"/>
          <w:b/>
          <w:sz w:val="20"/>
        </w:rPr>
      </w:pPr>
    </w:p>
    <w:p w14:paraId="02BD9A20" w14:textId="41CF8B49" w:rsidR="00800F50" w:rsidRPr="000D6A96" w:rsidRDefault="00800F50" w:rsidP="000D6A96">
      <w:pPr>
        <w:pStyle w:val="Odstavecseseznamem"/>
        <w:numPr>
          <w:ilvl w:val="2"/>
          <w:numId w:val="5"/>
        </w:numPr>
        <w:tabs>
          <w:tab w:val="left" w:pos="-6096"/>
        </w:tabs>
        <w:jc w:val="both"/>
        <w:rPr>
          <w:rFonts w:ascii="Arial" w:hAnsi="Arial" w:cs="Arial"/>
          <w:b/>
          <w:sz w:val="20"/>
        </w:rPr>
      </w:pPr>
      <w:r w:rsidRPr="000D6A96">
        <w:rPr>
          <w:rFonts w:ascii="Arial" w:hAnsi="Arial" w:cs="Arial"/>
          <w:b/>
          <w:sz w:val="20"/>
        </w:rPr>
        <w:t>Cena za dílo dle č. II. odst. 2.1.b</w:t>
      </w:r>
      <w:r w:rsidRPr="000D6A96">
        <w:rPr>
          <w:rFonts w:ascii="Arial" w:hAnsi="Arial" w:cs="Arial"/>
          <w:b/>
          <w:sz w:val="20"/>
        </w:rPr>
        <w:tab/>
      </w:r>
      <w:r w:rsidRPr="000D6A96">
        <w:rPr>
          <w:rFonts w:ascii="Arial" w:hAnsi="Arial" w:cs="Arial"/>
          <w:b/>
          <w:sz w:val="20"/>
        </w:rPr>
        <w:tab/>
        <w:t>1</w:t>
      </w:r>
      <w:r w:rsidR="00865B24" w:rsidRPr="000D6A96">
        <w:rPr>
          <w:rFonts w:ascii="Arial" w:hAnsi="Arial" w:cs="Arial"/>
          <w:b/>
          <w:sz w:val="20"/>
        </w:rPr>
        <w:t> 388 634</w:t>
      </w:r>
      <w:r w:rsidRPr="000D6A96">
        <w:rPr>
          <w:rFonts w:ascii="Arial" w:hAnsi="Arial" w:cs="Arial"/>
          <w:b/>
          <w:sz w:val="20"/>
        </w:rPr>
        <w:t xml:space="preserve"> Kč</w:t>
      </w:r>
    </w:p>
    <w:p w14:paraId="0BC83B9B" w14:textId="77777777" w:rsidR="00800F50" w:rsidRPr="00673810" w:rsidRDefault="00800F50" w:rsidP="00800F50">
      <w:pPr>
        <w:tabs>
          <w:tab w:val="left" w:pos="-6096"/>
        </w:tabs>
        <w:jc w:val="both"/>
        <w:rPr>
          <w:rFonts w:ascii="Arial" w:hAnsi="Arial" w:cs="Arial"/>
          <w:b/>
          <w:sz w:val="20"/>
        </w:rPr>
      </w:pPr>
    </w:p>
    <w:p w14:paraId="1BA35033" w14:textId="28DAA9D3" w:rsidR="00800F50" w:rsidRDefault="00800F50" w:rsidP="00800F50">
      <w:pPr>
        <w:pStyle w:val="Odstavecseseznamem"/>
        <w:numPr>
          <w:ilvl w:val="1"/>
          <w:numId w:val="5"/>
        </w:numPr>
        <w:tabs>
          <w:tab w:val="left" w:pos="-6096"/>
        </w:tabs>
        <w:jc w:val="both"/>
        <w:rPr>
          <w:rFonts w:ascii="Arial" w:hAnsi="Arial" w:cs="Arial"/>
          <w:b/>
          <w:sz w:val="20"/>
        </w:rPr>
      </w:pPr>
      <w:r w:rsidRPr="0081188C">
        <w:rPr>
          <w:rFonts w:ascii="Arial" w:hAnsi="Arial" w:cs="Arial"/>
          <w:b/>
          <w:sz w:val="20"/>
        </w:rPr>
        <w:t>Cena za dílo dle čl. II. odst. 2.2.</w:t>
      </w:r>
      <w:r>
        <w:rPr>
          <w:rFonts w:ascii="Arial" w:hAnsi="Arial" w:cs="Arial"/>
          <w:b/>
          <w:sz w:val="20"/>
        </w:rPr>
        <w:t>a.</w:t>
      </w:r>
      <w:r w:rsidRPr="0081188C">
        <w:rPr>
          <w:rFonts w:ascii="Arial" w:hAnsi="Arial" w:cs="Arial"/>
          <w:b/>
          <w:sz w:val="20"/>
        </w:rPr>
        <w:tab/>
      </w:r>
      <w:r w:rsidRPr="0081188C">
        <w:rPr>
          <w:rFonts w:ascii="Arial" w:hAnsi="Arial" w:cs="Arial"/>
          <w:b/>
          <w:sz w:val="20"/>
        </w:rPr>
        <w:tab/>
      </w:r>
      <w:r w:rsidR="000D6A96">
        <w:rPr>
          <w:rFonts w:ascii="Arial" w:hAnsi="Arial" w:cs="Arial"/>
          <w:b/>
          <w:sz w:val="20"/>
        </w:rPr>
        <w:tab/>
      </w:r>
      <w:r w:rsidRPr="00E61181">
        <w:rPr>
          <w:rFonts w:ascii="Arial" w:hAnsi="Arial" w:cs="Arial"/>
          <w:b/>
          <w:sz w:val="20"/>
        </w:rPr>
        <w:t>5</w:t>
      </w:r>
      <w:r w:rsidR="00865B24">
        <w:rPr>
          <w:rFonts w:ascii="Arial" w:hAnsi="Arial" w:cs="Arial"/>
          <w:b/>
          <w:sz w:val="20"/>
        </w:rPr>
        <w:t> 249 976</w:t>
      </w:r>
      <w:r w:rsidRPr="00E61181">
        <w:rPr>
          <w:rFonts w:ascii="Arial" w:hAnsi="Arial" w:cs="Arial"/>
          <w:b/>
          <w:sz w:val="20"/>
        </w:rPr>
        <w:t xml:space="preserve"> Kč</w:t>
      </w:r>
    </w:p>
    <w:p w14:paraId="6348726B" w14:textId="77777777" w:rsidR="00800F50" w:rsidRPr="006C1C11" w:rsidRDefault="00800F50" w:rsidP="00800F50">
      <w:pPr>
        <w:pStyle w:val="Odstavecseseznamem"/>
        <w:rPr>
          <w:rFonts w:ascii="Arial" w:hAnsi="Arial" w:cs="Arial"/>
          <w:b/>
          <w:sz w:val="20"/>
        </w:rPr>
      </w:pPr>
    </w:p>
    <w:p w14:paraId="6D5A4E0E" w14:textId="41EF2ECF" w:rsidR="00800F50" w:rsidRDefault="00800F50" w:rsidP="00800F50">
      <w:pPr>
        <w:pStyle w:val="Odstavecseseznamem"/>
        <w:numPr>
          <w:ilvl w:val="1"/>
          <w:numId w:val="5"/>
        </w:numPr>
        <w:tabs>
          <w:tab w:val="left" w:pos="-6096"/>
        </w:tabs>
        <w:jc w:val="both"/>
        <w:rPr>
          <w:rFonts w:ascii="Arial" w:hAnsi="Arial" w:cs="Arial"/>
          <w:b/>
          <w:sz w:val="20"/>
        </w:rPr>
      </w:pPr>
      <w:r w:rsidRPr="0081188C">
        <w:rPr>
          <w:rFonts w:ascii="Arial" w:hAnsi="Arial" w:cs="Arial"/>
          <w:b/>
          <w:sz w:val="20"/>
        </w:rPr>
        <w:t>Cena za dílo dle čl. II. odst. 2.2.</w:t>
      </w:r>
      <w:r>
        <w:rPr>
          <w:rFonts w:ascii="Arial" w:hAnsi="Arial" w:cs="Arial"/>
          <w:b/>
          <w:sz w:val="20"/>
        </w:rPr>
        <w:t>b.</w:t>
      </w:r>
      <w:r w:rsidRPr="0081188C">
        <w:rPr>
          <w:rFonts w:ascii="Arial" w:hAnsi="Arial" w:cs="Arial"/>
          <w:b/>
          <w:sz w:val="20"/>
        </w:rPr>
        <w:tab/>
      </w:r>
      <w:r w:rsidRPr="0081188C">
        <w:rPr>
          <w:rFonts w:ascii="Arial" w:hAnsi="Arial" w:cs="Arial"/>
          <w:b/>
          <w:sz w:val="20"/>
        </w:rPr>
        <w:tab/>
      </w:r>
      <w:r w:rsidR="000D6A96">
        <w:rPr>
          <w:rFonts w:ascii="Arial" w:hAnsi="Arial" w:cs="Arial"/>
          <w:b/>
          <w:sz w:val="20"/>
        </w:rPr>
        <w:tab/>
      </w:r>
      <w:r w:rsidR="00865B24">
        <w:rPr>
          <w:rFonts w:ascii="Arial" w:hAnsi="Arial" w:cs="Arial"/>
          <w:b/>
          <w:sz w:val="20"/>
        </w:rPr>
        <w:t>1 222 990</w:t>
      </w:r>
      <w:r w:rsidRPr="0081188C">
        <w:rPr>
          <w:rFonts w:ascii="Arial" w:hAnsi="Arial" w:cs="Arial"/>
          <w:b/>
          <w:sz w:val="20"/>
        </w:rPr>
        <w:t xml:space="preserve"> Kč</w:t>
      </w:r>
      <w:r>
        <w:rPr>
          <w:rFonts w:ascii="Arial" w:hAnsi="Arial" w:cs="Arial"/>
          <w:b/>
          <w:sz w:val="20"/>
        </w:rPr>
        <w:t xml:space="preserve"> </w:t>
      </w:r>
    </w:p>
    <w:p w14:paraId="3C717176" w14:textId="77777777" w:rsidR="00800F50" w:rsidRPr="006C1C11" w:rsidRDefault="00800F50" w:rsidP="00800F50">
      <w:pPr>
        <w:tabs>
          <w:tab w:val="left" w:pos="-6096"/>
        </w:tabs>
        <w:jc w:val="both"/>
        <w:rPr>
          <w:rFonts w:ascii="Arial" w:hAnsi="Arial" w:cs="Arial"/>
          <w:b/>
          <w:sz w:val="20"/>
        </w:rPr>
      </w:pPr>
    </w:p>
    <w:p w14:paraId="671A97CD" w14:textId="1EC68E8F" w:rsidR="00800F50" w:rsidRPr="00E61181" w:rsidRDefault="00800F50" w:rsidP="00800F50">
      <w:pPr>
        <w:pStyle w:val="Odstavecseseznamem"/>
        <w:numPr>
          <w:ilvl w:val="1"/>
          <w:numId w:val="5"/>
        </w:numPr>
        <w:tabs>
          <w:tab w:val="left" w:pos="-6096"/>
        </w:tabs>
        <w:jc w:val="both"/>
        <w:rPr>
          <w:rFonts w:ascii="Arial" w:hAnsi="Arial" w:cs="Arial"/>
          <w:b/>
          <w:sz w:val="20"/>
          <w:u w:val="single"/>
        </w:rPr>
      </w:pPr>
      <w:r w:rsidRPr="006C1C11">
        <w:rPr>
          <w:rFonts w:ascii="Arial" w:hAnsi="Arial" w:cs="Arial"/>
          <w:b/>
          <w:sz w:val="20"/>
          <w:u w:val="single"/>
        </w:rPr>
        <w:t>Cena za dílo dle čl. II. odst. 2.2.c.</w:t>
      </w:r>
      <w:r w:rsidRPr="006C1C11">
        <w:rPr>
          <w:rFonts w:ascii="Arial" w:hAnsi="Arial" w:cs="Arial"/>
          <w:b/>
          <w:sz w:val="20"/>
          <w:u w:val="single"/>
        </w:rPr>
        <w:tab/>
      </w:r>
      <w:r w:rsidR="000D6A96">
        <w:rPr>
          <w:rFonts w:ascii="Arial" w:hAnsi="Arial" w:cs="Arial"/>
          <w:b/>
          <w:sz w:val="20"/>
          <w:u w:val="single"/>
        </w:rPr>
        <w:tab/>
      </w:r>
      <w:r w:rsidRPr="006C1C11">
        <w:rPr>
          <w:rFonts w:ascii="Arial" w:hAnsi="Arial" w:cs="Arial"/>
          <w:b/>
          <w:sz w:val="20"/>
          <w:u w:val="single"/>
        </w:rPr>
        <w:tab/>
      </w:r>
      <w:r w:rsidRPr="00E61181">
        <w:rPr>
          <w:rFonts w:ascii="Arial" w:hAnsi="Arial" w:cs="Arial"/>
          <w:b/>
          <w:sz w:val="20"/>
          <w:u w:val="single"/>
        </w:rPr>
        <w:t xml:space="preserve">   356</w:t>
      </w:r>
      <w:r>
        <w:rPr>
          <w:rFonts w:ascii="Arial" w:hAnsi="Arial" w:cs="Arial"/>
          <w:b/>
          <w:sz w:val="20"/>
          <w:u w:val="single"/>
        </w:rPr>
        <w:t> </w:t>
      </w:r>
      <w:r w:rsidRPr="00E61181">
        <w:rPr>
          <w:rFonts w:ascii="Arial" w:hAnsi="Arial" w:cs="Arial"/>
          <w:b/>
          <w:sz w:val="20"/>
          <w:u w:val="single"/>
        </w:rPr>
        <w:t>679 Kč</w:t>
      </w:r>
    </w:p>
    <w:p w14:paraId="023E8ECF" w14:textId="77777777" w:rsidR="00800F50" w:rsidRPr="00E61181" w:rsidRDefault="00800F50" w:rsidP="00800F50">
      <w:pPr>
        <w:pStyle w:val="Odstavecseseznamem"/>
        <w:rPr>
          <w:rFonts w:ascii="Arial" w:hAnsi="Arial" w:cs="Arial"/>
          <w:b/>
          <w:sz w:val="20"/>
        </w:rPr>
      </w:pPr>
    </w:p>
    <w:p w14:paraId="34F94DED" w14:textId="40AE0CA3" w:rsidR="00800F50" w:rsidRPr="00AF2D36" w:rsidRDefault="00800F50" w:rsidP="00800F50">
      <w:pPr>
        <w:tabs>
          <w:tab w:val="left" w:pos="-6096"/>
        </w:tabs>
        <w:jc w:val="both"/>
        <w:rPr>
          <w:rFonts w:ascii="Arial" w:hAnsi="Arial" w:cs="Arial"/>
          <w:b/>
          <w:sz w:val="20"/>
        </w:rPr>
      </w:pPr>
      <w:r w:rsidRPr="00E61181">
        <w:rPr>
          <w:rFonts w:ascii="Arial" w:hAnsi="Arial" w:cs="Arial"/>
          <w:b/>
          <w:sz w:val="20"/>
        </w:rPr>
        <w:tab/>
      </w:r>
      <w:r w:rsidRPr="00E61181">
        <w:rPr>
          <w:rFonts w:ascii="Arial" w:hAnsi="Arial" w:cs="Arial"/>
          <w:b/>
          <w:sz w:val="20"/>
        </w:rPr>
        <w:tab/>
        <w:t>Cena za dílo celkem</w:t>
      </w:r>
      <w:r w:rsidRPr="00E61181">
        <w:rPr>
          <w:rFonts w:ascii="Arial" w:hAnsi="Arial" w:cs="Arial"/>
          <w:b/>
          <w:sz w:val="20"/>
        </w:rPr>
        <w:tab/>
      </w:r>
      <w:r w:rsidRPr="00E61181">
        <w:rPr>
          <w:rFonts w:ascii="Arial" w:hAnsi="Arial" w:cs="Arial"/>
          <w:b/>
          <w:sz w:val="20"/>
        </w:rPr>
        <w:tab/>
      </w:r>
      <w:r w:rsidRPr="00E61181">
        <w:rPr>
          <w:rFonts w:ascii="Arial" w:hAnsi="Arial" w:cs="Arial"/>
          <w:b/>
          <w:sz w:val="20"/>
        </w:rPr>
        <w:tab/>
      </w:r>
      <w:r w:rsidR="000D6A96">
        <w:rPr>
          <w:rFonts w:ascii="Arial" w:hAnsi="Arial" w:cs="Arial"/>
          <w:b/>
          <w:sz w:val="20"/>
        </w:rPr>
        <w:tab/>
      </w:r>
      <w:r w:rsidRPr="00E61181">
        <w:rPr>
          <w:rFonts w:ascii="Arial" w:hAnsi="Arial" w:cs="Arial"/>
          <w:b/>
          <w:sz w:val="20"/>
        </w:rPr>
        <w:tab/>
        <w:t>8.849.525,-</w:t>
      </w:r>
      <w:r w:rsidRPr="00AF2D36">
        <w:rPr>
          <w:rFonts w:ascii="Arial" w:hAnsi="Arial" w:cs="Arial"/>
          <w:b/>
          <w:sz w:val="20"/>
        </w:rPr>
        <w:t xml:space="preserve"> Kč</w:t>
      </w:r>
    </w:p>
    <w:p w14:paraId="4C34DDB0" w14:textId="00738ED9" w:rsidR="004E2DD6" w:rsidRDefault="00800F50" w:rsidP="004E2DD6">
      <w:pPr>
        <w:tabs>
          <w:tab w:val="left" w:pos="284"/>
          <w:tab w:val="left" w:pos="141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</w:p>
    <w:p w14:paraId="19B7C54E" w14:textId="1B5A0E80" w:rsidR="004E2DD6" w:rsidRDefault="004E2DD6" w:rsidP="00E27576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Rozpis víceprací a méněprací dle dodatku č. 1 je uveden v</w:t>
      </w:r>
      <w:r w:rsidR="00145369">
        <w:rPr>
          <w:rFonts w:ascii="Arial" w:hAnsi="Arial" w:cs="Arial"/>
          <w:sz w:val="20"/>
        </w:rPr>
        <w:t xml:space="preserve"> nové</w:t>
      </w:r>
      <w:r>
        <w:rPr>
          <w:rFonts w:ascii="Arial" w:hAnsi="Arial" w:cs="Arial"/>
          <w:sz w:val="20"/>
        </w:rPr>
        <w:t> příloze č. 3 smlouvy.</w:t>
      </w:r>
    </w:p>
    <w:p w14:paraId="76CA791F" w14:textId="77777777" w:rsidR="004E2DD6" w:rsidRDefault="004E2DD6" w:rsidP="00E27576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</w:rPr>
      </w:pPr>
    </w:p>
    <w:p w14:paraId="7916B1C1" w14:textId="19DE0DF7" w:rsidR="00FE1DFC" w:rsidRDefault="00800F50" w:rsidP="00E27576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</w:rPr>
      </w:pPr>
      <w:r w:rsidRPr="00D95703">
        <w:rPr>
          <w:rFonts w:ascii="Arial" w:hAnsi="Arial" w:cs="Arial"/>
          <w:sz w:val="20"/>
        </w:rPr>
        <w:t>K této ceně bude účtována v souladu se zákonem č. 235/2004 Sb., o dani z přidané hodnoty, ve znění pozdějších předpisů, DPH v zákonem stanovené výši.</w:t>
      </w:r>
    </w:p>
    <w:p w14:paraId="27350CDB" w14:textId="01296F93" w:rsidR="00073CA6" w:rsidRDefault="00073CA6" w:rsidP="00E27576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</w:p>
    <w:p w14:paraId="4873ACEC" w14:textId="59F7CEC0" w:rsidR="00073CA6" w:rsidRDefault="00073CA6" w:rsidP="00015F72">
      <w:pPr>
        <w:numPr>
          <w:ilvl w:val="0"/>
          <w:numId w:val="1"/>
        </w:numPr>
        <w:tabs>
          <w:tab w:val="left" w:pos="-609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Stávající odst. </w:t>
      </w:r>
      <w:r w:rsidR="00015F72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 čl. VI</w:t>
      </w:r>
      <w:r w:rsidR="00015F72">
        <w:rPr>
          <w:rFonts w:ascii="Arial" w:hAnsi="Arial" w:cs="Arial"/>
          <w:sz w:val="20"/>
        </w:rPr>
        <w:t>II</w:t>
      </w:r>
      <w:r>
        <w:rPr>
          <w:rFonts w:ascii="Arial" w:hAnsi="Arial" w:cs="Arial"/>
          <w:sz w:val="20"/>
        </w:rPr>
        <w:t xml:space="preserve">. </w:t>
      </w:r>
      <w:r w:rsidR="00015F72" w:rsidRPr="00015F72">
        <w:rPr>
          <w:rFonts w:ascii="Arial" w:hAnsi="Arial" w:cs="Arial"/>
          <w:sz w:val="20"/>
        </w:rPr>
        <w:t>Způsob úhrady, fakturace</w:t>
      </w:r>
      <w:r>
        <w:rPr>
          <w:rFonts w:ascii="Arial" w:hAnsi="Arial" w:cs="Arial"/>
          <w:sz w:val="20"/>
        </w:rPr>
        <w:t xml:space="preserve"> se mění následovně:</w:t>
      </w:r>
    </w:p>
    <w:p w14:paraId="12C76F64" w14:textId="12CBCE37" w:rsidR="00073CA6" w:rsidRDefault="00073CA6" w:rsidP="00073CA6">
      <w:pPr>
        <w:tabs>
          <w:tab w:val="left" w:pos="-6096"/>
        </w:tabs>
        <w:ind w:left="360"/>
        <w:jc w:val="both"/>
        <w:rPr>
          <w:rFonts w:ascii="Arial" w:hAnsi="Arial" w:cs="Arial"/>
          <w:sz w:val="20"/>
        </w:rPr>
      </w:pPr>
    </w:p>
    <w:p w14:paraId="43EEFE71" w14:textId="2613EC28" w:rsidR="0098484E" w:rsidRDefault="00F3270C" w:rsidP="0098484E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Úhrada ceny za dílo dle čl. VI. odst. 1. písm. a)</w:t>
      </w:r>
      <w:r w:rsidR="00631F7F">
        <w:rPr>
          <w:rFonts w:ascii="Arial" w:hAnsi="Arial" w:cs="Arial"/>
          <w:sz w:val="20"/>
        </w:rPr>
        <w:t xml:space="preserve"> i.</w:t>
      </w:r>
      <w:r>
        <w:rPr>
          <w:rFonts w:ascii="Arial" w:hAnsi="Arial" w:cs="Arial"/>
          <w:sz w:val="20"/>
        </w:rPr>
        <w:t xml:space="preserve"> této smlouvy bude objednatelem uskutečněna </w:t>
      </w:r>
      <w:r w:rsidR="008F356D">
        <w:rPr>
          <w:rFonts w:ascii="Arial" w:hAnsi="Arial" w:cs="Arial"/>
          <w:sz w:val="20"/>
        </w:rPr>
        <w:t>po částech</w:t>
      </w:r>
      <w:r w:rsidR="0059236A">
        <w:rPr>
          <w:rFonts w:ascii="Arial" w:hAnsi="Arial" w:cs="Arial"/>
          <w:sz w:val="20"/>
        </w:rPr>
        <w:t xml:space="preserve">, kdy první část </w:t>
      </w:r>
      <w:r w:rsidR="00266014">
        <w:rPr>
          <w:rFonts w:ascii="Arial" w:hAnsi="Arial" w:cs="Arial"/>
          <w:sz w:val="20"/>
        </w:rPr>
        <w:t>za</w:t>
      </w:r>
      <w:r w:rsidR="00266014" w:rsidRPr="00266014">
        <w:t xml:space="preserve"> </w:t>
      </w:r>
      <w:r w:rsidR="00266014" w:rsidRPr="00266014">
        <w:rPr>
          <w:rFonts w:ascii="Arial" w:hAnsi="Arial" w:cs="Arial"/>
          <w:sz w:val="20"/>
        </w:rPr>
        <w:t>vyhotovení povodňové studie</w:t>
      </w:r>
      <w:r w:rsidR="00266014">
        <w:rPr>
          <w:rFonts w:ascii="Arial" w:hAnsi="Arial" w:cs="Arial"/>
          <w:sz w:val="20"/>
        </w:rPr>
        <w:t xml:space="preserve"> </w:t>
      </w:r>
      <w:r w:rsidR="00F84A1F">
        <w:rPr>
          <w:rFonts w:ascii="Arial" w:hAnsi="Arial" w:cs="Arial"/>
          <w:sz w:val="20"/>
        </w:rPr>
        <w:t xml:space="preserve">ve výši dle </w:t>
      </w:r>
      <w:r w:rsidR="00266014">
        <w:rPr>
          <w:rFonts w:ascii="Arial" w:hAnsi="Arial" w:cs="Arial"/>
          <w:sz w:val="20"/>
        </w:rPr>
        <w:t xml:space="preserve">přílohy č. 3 smlouvy </w:t>
      </w:r>
      <w:r w:rsidR="0059236A">
        <w:rPr>
          <w:rFonts w:ascii="Arial" w:hAnsi="Arial" w:cs="Arial"/>
          <w:sz w:val="20"/>
        </w:rPr>
        <w:t xml:space="preserve">bude uhrazena </w:t>
      </w:r>
      <w:r w:rsidR="00077AB1">
        <w:rPr>
          <w:rFonts w:ascii="Arial" w:hAnsi="Arial" w:cs="Arial"/>
          <w:sz w:val="20"/>
        </w:rPr>
        <w:t xml:space="preserve">po </w:t>
      </w:r>
      <w:r w:rsidR="0005639E">
        <w:rPr>
          <w:rFonts w:ascii="Arial" w:hAnsi="Arial" w:cs="Arial"/>
          <w:sz w:val="20"/>
        </w:rPr>
        <w:t>p</w:t>
      </w:r>
      <w:r w:rsidR="009B5CAC">
        <w:rPr>
          <w:rFonts w:ascii="Arial" w:hAnsi="Arial" w:cs="Arial"/>
          <w:sz w:val="20"/>
        </w:rPr>
        <w:t xml:space="preserve">řevzetí </w:t>
      </w:r>
      <w:r w:rsidR="0005639E">
        <w:rPr>
          <w:rFonts w:ascii="Arial" w:hAnsi="Arial" w:cs="Arial"/>
          <w:sz w:val="20"/>
        </w:rPr>
        <w:t xml:space="preserve">studie </w:t>
      </w:r>
      <w:r w:rsidR="009B5CAC" w:rsidRPr="009B5CAC">
        <w:rPr>
          <w:rFonts w:ascii="Arial" w:hAnsi="Arial" w:cs="Arial"/>
          <w:sz w:val="20"/>
        </w:rPr>
        <w:t>objednatelem na základě oboustranně podepsaného předávacího protokolu v souladu s čl. XIII. této smlouvy</w:t>
      </w:r>
      <w:r w:rsidR="000734CC">
        <w:rPr>
          <w:rFonts w:ascii="Arial" w:hAnsi="Arial" w:cs="Arial"/>
          <w:sz w:val="20"/>
        </w:rPr>
        <w:t xml:space="preserve"> a</w:t>
      </w:r>
      <w:r w:rsidR="00360FAD">
        <w:rPr>
          <w:rFonts w:ascii="Arial" w:hAnsi="Arial" w:cs="Arial"/>
          <w:sz w:val="20"/>
        </w:rPr>
        <w:t xml:space="preserve"> druhá část</w:t>
      </w:r>
      <w:r w:rsidR="000734CC">
        <w:rPr>
          <w:rFonts w:ascii="Arial" w:hAnsi="Arial" w:cs="Arial"/>
          <w:sz w:val="20"/>
        </w:rPr>
        <w:t xml:space="preserve"> bude uhrazena</w:t>
      </w:r>
      <w:r w:rsidR="003948BE">
        <w:rPr>
          <w:rFonts w:ascii="Arial" w:hAnsi="Arial" w:cs="Arial"/>
          <w:sz w:val="20"/>
        </w:rPr>
        <w:t xml:space="preserve"> </w:t>
      </w:r>
      <w:r w:rsidR="00631F7F">
        <w:rPr>
          <w:rFonts w:ascii="Arial" w:hAnsi="Arial" w:cs="Arial"/>
          <w:sz w:val="20"/>
        </w:rPr>
        <w:t xml:space="preserve">až po získání </w:t>
      </w:r>
      <w:r w:rsidR="00631F7F" w:rsidRPr="000155EC">
        <w:rPr>
          <w:rFonts w:ascii="Arial" w:hAnsi="Arial" w:cs="Arial"/>
          <w:sz w:val="20"/>
        </w:rPr>
        <w:t>nezbytných souhlasů a pravomocných povolení a stanovisek všech dotčených orgánů a účastníků souvisejících řízení</w:t>
      </w:r>
      <w:r w:rsidR="00631F7F">
        <w:rPr>
          <w:rFonts w:ascii="Arial" w:hAnsi="Arial" w:cs="Arial"/>
          <w:sz w:val="20"/>
        </w:rPr>
        <w:t xml:space="preserve"> v souladu s platnými normami a legislativou</w:t>
      </w:r>
      <w:r w:rsidR="00A266F5">
        <w:rPr>
          <w:rFonts w:ascii="Arial" w:hAnsi="Arial" w:cs="Arial"/>
          <w:sz w:val="20"/>
        </w:rPr>
        <w:t xml:space="preserve"> na základě činnosti zhotovitele</w:t>
      </w:r>
      <w:r w:rsidR="000F57BD">
        <w:rPr>
          <w:rFonts w:ascii="Arial" w:hAnsi="Arial" w:cs="Arial"/>
          <w:sz w:val="20"/>
        </w:rPr>
        <w:t xml:space="preserve">. </w:t>
      </w:r>
      <w:r w:rsidR="00D01FD4">
        <w:rPr>
          <w:rFonts w:ascii="Arial" w:hAnsi="Arial" w:cs="Arial"/>
          <w:sz w:val="20"/>
        </w:rPr>
        <w:t xml:space="preserve">Úhrada ceny za dílo dle čl. VI. odst. 1. písm. a) ii. této smlouvy bude objednatelem uskutečněna jednorázově </w:t>
      </w:r>
      <w:r w:rsidR="003948BE">
        <w:rPr>
          <w:rFonts w:ascii="Arial" w:hAnsi="Arial" w:cs="Arial"/>
          <w:sz w:val="20"/>
        </w:rPr>
        <w:t>nebo po částech</w:t>
      </w:r>
      <w:r w:rsidR="00D01FD4">
        <w:rPr>
          <w:rFonts w:ascii="Arial" w:hAnsi="Arial" w:cs="Arial"/>
          <w:sz w:val="20"/>
        </w:rPr>
        <w:t>.</w:t>
      </w:r>
      <w:r w:rsidR="00666E80">
        <w:rPr>
          <w:rFonts w:ascii="Arial" w:hAnsi="Arial" w:cs="Arial"/>
          <w:sz w:val="20"/>
        </w:rPr>
        <w:t xml:space="preserve"> </w:t>
      </w:r>
      <w:r w:rsidR="000F57BD">
        <w:rPr>
          <w:rFonts w:ascii="Arial" w:hAnsi="Arial" w:cs="Arial"/>
          <w:sz w:val="20"/>
        </w:rPr>
        <w:t xml:space="preserve">Jakoukoliv </w:t>
      </w:r>
      <w:r w:rsidR="00666E80">
        <w:rPr>
          <w:rFonts w:ascii="Arial" w:hAnsi="Arial" w:cs="Arial"/>
          <w:sz w:val="20"/>
        </w:rPr>
        <w:t>úhradu ceny za dílo nebo jeho část</w:t>
      </w:r>
      <w:r w:rsidR="000F57BD">
        <w:rPr>
          <w:rFonts w:ascii="Arial" w:hAnsi="Arial" w:cs="Arial"/>
          <w:sz w:val="20"/>
        </w:rPr>
        <w:t xml:space="preserve"> je možné realizovat až po prokazatelném provedení příslušné části díla</w:t>
      </w:r>
      <w:r w:rsidR="000A5608">
        <w:rPr>
          <w:rFonts w:ascii="Arial" w:hAnsi="Arial" w:cs="Arial"/>
          <w:sz w:val="20"/>
        </w:rPr>
        <w:t xml:space="preserve"> a</w:t>
      </w:r>
      <w:r w:rsidR="000F57BD">
        <w:rPr>
          <w:rFonts w:ascii="Arial" w:hAnsi="Arial" w:cs="Arial"/>
          <w:sz w:val="20"/>
        </w:rPr>
        <w:t xml:space="preserve"> jejím</w:t>
      </w:r>
      <w:r>
        <w:rPr>
          <w:rFonts w:ascii="Arial" w:hAnsi="Arial" w:cs="Arial"/>
          <w:sz w:val="20"/>
        </w:rPr>
        <w:t xml:space="preserve"> převzetí objednatelem na základě oboustranně podepsaného předávacího protokolu v souladu s čl. XIII. této smlouvy</w:t>
      </w:r>
      <w:r w:rsidR="009A6969">
        <w:rPr>
          <w:rFonts w:ascii="Arial" w:hAnsi="Arial" w:cs="Arial"/>
          <w:sz w:val="20"/>
        </w:rPr>
        <w:t>.</w:t>
      </w:r>
    </w:p>
    <w:p w14:paraId="573D4C03" w14:textId="34BD316E" w:rsidR="0098484E" w:rsidRDefault="0098484E" w:rsidP="0098484E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</w:rPr>
      </w:pPr>
    </w:p>
    <w:p w14:paraId="5BDF22A3" w14:textId="6916BBF9" w:rsidR="0098484E" w:rsidRDefault="0098484E" w:rsidP="0098484E">
      <w:pPr>
        <w:numPr>
          <w:ilvl w:val="0"/>
          <w:numId w:val="1"/>
        </w:numPr>
        <w:tabs>
          <w:tab w:val="left" w:pos="-609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Stávající odst. 6. čl. VIII. </w:t>
      </w:r>
      <w:r w:rsidRPr="00015F72">
        <w:rPr>
          <w:rFonts w:ascii="Arial" w:hAnsi="Arial" w:cs="Arial"/>
          <w:sz w:val="20"/>
        </w:rPr>
        <w:t>Způsob úhrady, fakturace</w:t>
      </w:r>
      <w:r>
        <w:rPr>
          <w:rFonts w:ascii="Arial" w:hAnsi="Arial" w:cs="Arial"/>
          <w:sz w:val="20"/>
        </w:rPr>
        <w:t xml:space="preserve"> se mění následovně:</w:t>
      </w:r>
    </w:p>
    <w:p w14:paraId="28363DDD" w14:textId="63EC4F6E" w:rsidR="0098484E" w:rsidRDefault="0098484E" w:rsidP="0098484E">
      <w:pPr>
        <w:tabs>
          <w:tab w:val="left" w:pos="-6096"/>
        </w:tabs>
        <w:jc w:val="both"/>
        <w:rPr>
          <w:rFonts w:ascii="Arial" w:hAnsi="Arial" w:cs="Arial"/>
          <w:sz w:val="20"/>
        </w:rPr>
      </w:pPr>
    </w:p>
    <w:p w14:paraId="04CFE294" w14:textId="2419C45F" w:rsidR="0098484E" w:rsidRDefault="0098484E" w:rsidP="0098484E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sjednávají, že první předávací protokol bude zhotovitelem vystaven nedříve </w:t>
      </w:r>
      <w:r w:rsidR="000555F4">
        <w:rPr>
          <w:rFonts w:ascii="Arial" w:hAnsi="Arial" w:cs="Arial"/>
          <w:sz w:val="20"/>
        </w:rPr>
        <w:t xml:space="preserve">po </w:t>
      </w:r>
      <w:r>
        <w:rPr>
          <w:rFonts w:ascii="Arial" w:hAnsi="Arial" w:cs="Arial"/>
          <w:sz w:val="20"/>
        </w:rPr>
        <w:t>prokazatelném provedení část</w:t>
      </w:r>
      <w:r w:rsidR="009C5A45">
        <w:rPr>
          <w:rFonts w:ascii="Arial" w:hAnsi="Arial" w:cs="Arial"/>
          <w:sz w:val="20"/>
        </w:rPr>
        <w:t>í</w:t>
      </w:r>
      <w:r>
        <w:rPr>
          <w:rFonts w:ascii="Arial" w:hAnsi="Arial" w:cs="Arial"/>
          <w:sz w:val="20"/>
        </w:rPr>
        <w:t xml:space="preserve"> díla</w:t>
      </w:r>
      <w:r w:rsidR="00C0498B">
        <w:rPr>
          <w:rFonts w:ascii="Arial" w:hAnsi="Arial" w:cs="Arial"/>
          <w:sz w:val="20"/>
        </w:rPr>
        <w:t xml:space="preserve"> dle čl. II. odst. 2.1</w:t>
      </w:r>
      <w:r>
        <w:rPr>
          <w:rFonts w:ascii="Arial" w:hAnsi="Arial" w:cs="Arial"/>
          <w:sz w:val="20"/>
        </w:rPr>
        <w:t xml:space="preserve"> </w:t>
      </w:r>
      <w:r w:rsidR="000040D0">
        <w:rPr>
          <w:rFonts w:ascii="Arial" w:hAnsi="Arial" w:cs="Arial"/>
          <w:sz w:val="20"/>
        </w:rPr>
        <w:t xml:space="preserve">definovaných položkami </w:t>
      </w:r>
      <w:r w:rsidR="00572CED">
        <w:rPr>
          <w:rFonts w:ascii="Arial" w:hAnsi="Arial" w:cs="Arial"/>
          <w:sz w:val="20"/>
        </w:rPr>
        <w:t>č. 1 a 3 až 6 přílohy č. 3 smlouvy</w:t>
      </w:r>
      <w:r>
        <w:rPr>
          <w:rFonts w:ascii="Arial" w:hAnsi="Arial" w:cs="Arial"/>
          <w:sz w:val="20"/>
        </w:rPr>
        <w:t>.</w:t>
      </w:r>
    </w:p>
    <w:p w14:paraId="154EC854" w14:textId="57BE4732" w:rsidR="002D5C7E" w:rsidRPr="00131DCC" w:rsidRDefault="002D5C7E" w:rsidP="0098484E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</w:rPr>
      </w:pPr>
    </w:p>
    <w:p w14:paraId="6E6CC3D8" w14:textId="54975C66" w:rsidR="00D351A8" w:rsidRPr="00131DCC" w:rsidRDefault="000B64FD" w:rsidP="00D351A8">
      <w:pPr>
        <w:numPr>
          <w:ilvl w:val="0"/>
          <w:numId w:val="1"/>
        </w:numPr>
        <w:tabs>
          <w:tab w:val="left" w:pos="-6096"/>
        </w:tabs>
        <w:jc w:val="both"/>
        <w:rPr>
          <w:rFonts w:ascii="Arial" w:hAnsi="Arial" w:cs="Arial"/>
          <w:sz w:val="20"/>
        </w:rPr>
      </w:pPr>
      <w:r w:rsidRPr="00131DCC">
        <w:rPr>
          <w:rFonts w:ascii="Arial" w:hAnsi="Arial" w:cs="Arial"/>
          <w:sz w:val="20"/>
        </w:rPr>
        <w:t xml:space="preserve">Stávající přílohy </w:t>
      </w:r>
      <w:r w:rsidR="00D351A8" w:rsidRPr="00131DCC">
        <w:rPr>
          <w:rFonts w:ascii="Arial" w:hAnsi="Arial" w:cs="Arial"/>
          <w:sz w:val="20"/>
        </w:rPr>
        <w:t xml:space="preserve">č. 1 a 2 </w:t>
      </w:r>
      <w:r w:rsidRPr="00131DCC">
        <w:rPr>
          <w:rFonts w:ascii="Arial" w:hAnsi="Arial" w:cs="Arial"/>
          <w:sz w:val="20"/>
        </w:rPr>
        <w:t xml:space="preserve">smlouvy </w:t>
      </w:r>
      <w:r w:rsidR="00D351A8" w:rsidRPr="00131DCC">
        <w:rPr>
          <w:rFonts w:ascii="Arial" w:hAnsi="Arial" w:cs="Arial"/>
          <w:sz w:val="20"/>
        </w:rPr>
        <w:t>se nahrazují novými verzemi s aktualizací technického řešení. Do stávajícího čl. XIV. Závěrečná ustanovení se za odstavec 7. vkládá nová příloha smlouvy:</w:t>
      </w:r>
    </w:p>
    <w:p w14:paraId="6C00881F" w14:textId="6BCCA8B9" w:rsidR="00D351A8" w:rsidRDefault="00D351A8" w:rsidP="00131DCC">
      <w:pPr>
        <w:tabs>
          <w:tab w:val="left" w:pos="-6096"/>
        </w:tabs>
        <w:ind w:left="360"/>
        <w:jc w:val="both"/>
        <w:rPr>
          <w:rFonts w:ascii="Arial" w:hAnsi="Arial" w:cs="Arial"/>
          <w:color w:val="FF0000"/>
          <w:sz w:val="20"/>
        </w:rPr>
      </w:pPr>
    </w:p>
    <w:p w14:paraId="763BBE54" w14:textId="0B8901D5" w:rsidR="00D351A8" w:rsidRPr="00D351A8" w:rsidRDefault="00D351A8" w:rsidP="0019577D">
      <w:pPr>
        <w:pStyle w:val="Odstavecseseznamem"/>
        <w:ind w:left="360"/>
        <w:jc w:val="both"/>
        <w:rPr>
          <w:rFonts w:ascii="Arial" w:hAnsi="Arial" w:cs="Arial"/>
          <w:sz w:val="20"/>
        </w:rPr>
      </w:pPr>
      <w:r w:rsidRPr="00D351A8">
        <w:rPr>
          <w:rFonts w:ascii="Arial" w:hAnsi="Arial" w:cs="Arial"/>
          <w:sz w:val="20"/>
        </w:rPr>
        <w:t xml:space="preserve">Příloha č. </w:t>
      </w:r>
      <w:r>
        <w:rPr>
          <w:rFonts w:ascii="Arial" w:hAnsi="Arial" w:cs="Arial"/>
          <w:sz w:val="20"/>
        </w:rPr>
        <w:t>3</w:t>
      </w:r>
      <w:r w:rsidRPr="00D351A8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Rozpis víceprací a méněprací dle dodatku č. 1</w:t>
      </w:r>
    </w:p>
    <w:p w14:paraId="325E40E0" w14:textId="77777777" w:rsidR="00D351A8" w:rsidRPr="00D351A8" w:rsidRDefault="00D351A8" w:rsidP="00131DCC">
      <w:pPr>
        <w:tabs>
          <w:tab w:val="left" w:pos="-6096"/>
        </w:tabs>
        <w:ind w:left="360"/>
        <w:jc w:val="both"/>
        <w:rPr>
          <w:rFonts w:ascii="Arial" w:hAnsi="Arial" w:cs="Arial"/>
          <w:color w:val="FF0000"/>
          <w:sz w:val="20"/>
        </w:rPr>
      </w:pPr>
    </w:p>
    <w:p w14:paraId="39BE2627" w14:textId="77777777" w:rsidR="002D5C7E" w:rsidRPr="003B3063" w:rsidRDefault="002D5C7E" w:rsidP="0098484E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FF0000"/>
          <w:sz w:val="20"/>
        </w:rPr>
      </w:pPr>
    </w:p>
    <w:p w14:paraId="7BB02BA3" w14:textId="77777777" w:rsidR="0098484E" w:rsidRPr="003B3063" w:rsidRDefault="0098484E" w:rsidP="0098484E">
      <w:pPr>
        <w:tabs>
          <w:tab w:val="left" w:pos="-6096"/>
        </w:tabs>
        <w:jc w:val="both"/>
        <w:rPr>
          <w:rFonts w:ascii="Arial" w:hAnsi="Arial" w:cs="Arial"/>
          <w:color w:val="FF0000"/>
          <w:sz w:val="20"/>
        </w:rPr>
      </w:pPr>
    </w:p>
    <w:p w14:paraId="2DAA04F7" w14:textId="6B119131" w:rsidR="00073CA6" w:rsidRPr="003B3063" w:rsidRDefault="00073CA6" w:rsidP="0098484E">
      <w:pPr>
        <w:tabs>
          <w:tab w:val="left" w:pos="284"/>
        </w:tabs>
        <w:ind w:left="426" w:hanging="142"/>
        <w:jc w:val="both"/>
        <w:rPr>
          <w:rFonts w:ascii="Arial" w:hAnsi="Arial" w:cs="Arial"/>
          <w:color w:val="FF0000"/>
          <w:sz w:val="20"/>
        </w:rPr>
      </w:pPr>
    </w:p>
    <w:p w14:paraId="5F3F2A25" w14:textId="77777777" w:rsidR="00B878FD" w:rsidRPr="00D236F2" w:rsidRDefault="00B878FD" w:rsidP="00B6391A">
      <w:pPr>
        <w:tabs>
          <w:tab w:val="left" w:pos="-6096"/>
        </w:tabs>
        <w:ind w:left="426"/>
        <w:jc w:val="both"/>
        <w:rPr>
          <w:rFonts w:ascii="Arial" w:hAnsi="Arial" w:cs="Arial"/>
          <w:b/>
          <w:sz w:val="20"/>
        </w:rPr>
      </w:pPr>
    </w:p>
    <w:p w14:paraId="53DBA6BF" w14:textId="57C38157" w:rsidR="003D00EF" w:rsidRPr="00D236F2" w:rsidRDefault="00AA6DBC" w:rsidP="00AA6DBC">
      <w:pPr>
        <w:tabs>
          <w:tab w:val="left" w:pos="426"/>
          <w:tab w:val="left" w:pos="1843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  <w:r w:rsidRPr="00D236F2">
        <w:rPr>
          <w:rFonts w:ascii="Arial" w:hAnsi="Arial" w:cs="Arial"/>
          <w:b/>
          <w:sz w:val="20"/>
        </w:rPr>
        <w:t>I</w:t>
      </w:r>
      <w:r w:rsidR="004B44C0" w:rsidRPr="00D236F2">
        <w:rPr>
          <w:rFonts w:ascii="Arial" w:hAnsi="Arial" w:cs="Arial"/>
          <w:b/>
          <w:sz w:val="20"/>
        </w:rPr>
        <w:t>V.</w:t>
      </w:r>
      <w:r w:rsidR="004B44C0" w:rsidRPr="00D236F2">
        <w:rPr>
          <w:rFonts w:ascii="Arial" w:hAnsi="Arial" w:cs="Arial"/>
          <w:b/>
          <w:sz w:val="20"/>
        </w:rPr>
        <w:tab/>
      </w:r>
      <w:r w:rsidR="004B44C0" w:rsidRPr="00D236F2">
        <w:rPr>
          <w:rFonts w:ascii="Arial" w:hAnsi="Arial" w:cs="Arial"/>
          <w:b/>
          <w:sz w:val="20"/>
          <w:u w:val="single"/>
        </w:rPr>
        <w:t>Závěrečná ustanovení</w:t>
      </w:r>
    </w:p>
    <w:p w14:paraId="2C98CFC5" w14:textId="77777777" w:rsidR="00EC0E51" w:rsidRPr="00D236F2" w:rsidRDefault="00EC0E51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18"/>
          <w:u w:val="single"/>
        </w:rPr>
      </w:pPr>
    </w:p>
    <w:p w14:paraId="79C185AE" w14:textId="7BA0A6A5" w:rsidR="00AA6DBC" w:rsidRPr="00D236F2" w:rsidRDefault="00AA6DBC" w:rsidP="00D236F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D236F2">
        <w:rPr>
          <w:rFonts w:ascii="Arial" w:hAnsi="Arial" w:cs="Arial"/>
          <w:sz w:val="20"/>
          <w:szCs w:val="22"/>
        </w:rPr>
        <w:t xml:space="preserve">Ostatní ustanovení a přílohy </w:t>
      </w:r>
      <w:r w:rsidR="00570950" w:rsidRPr="00D236F2">
        <w:rPr>
          <w:rFonts w:ascii="Arial" w:hAnsi="Arial" w:cs="Arial"/>
          <w:sz w:val="20"/>
          <w:szCs w:val="22"/>
        </w:rPr>
        <w:t xml:space="preserve">Smlouvy o dílo č. </w:t>
      </w:r>
      <w:r w:rsidR="00D236F2" w:rsidRPr="00D236F2">
        <w:rPr>
          <w:rFonts w:ascii="Arial" w:hAnsi="Arial" w:cs="Arial"/>
          <w:sz w:val="20"/>
          <w:szCs w:val="22"/>
        </w:rPr>
        <w:t>THS SO 08/2024</w:t>
      </w:r>
      <w:r w:rsidRPr="00D236F2">
        <w:rPr>
          <w:rFonts w:ascii="Arial" w:hAnsi="Arial" w:cs="Arial"/>
          <w:sz w:val="20"/>
          <w:szCs w:val="22"/>
        </w:rPr>
        <w:t xml:space="preserve"> tímto dodatkem</w:t>
      </w:r>
      <w:r w:rsidR="00570950" w:rsidRPr="00D236F2">
        <w:rPr>
          <w:rFonts w:ascii="Arial" w:hAnsi="Arial" w:cs="Arial"/>
          <w:sz w:val="20"/>
          <w:szCs w:val="22"/>
        </w:rPr>
        <w:t xml:space="preserve"> č. 1</w:t>
      </w:r>
      <w:r w:rsidRPr="00D236F2">
        <w:rPr>
          <w:rFonts w:ascii="Arial" w:hAnsi="Arial" w:cs="Arial"/>
          <w:sz w:val="20"/>
          <w:szCs w:val="22"/>
        </w:rPr>
        <w:t xml:space="preserve"> nezměněné, zůstávají v platnosti.</w:t>
      </w:r>
    </w:p>
    <w:p w14:paraId="10326325" w14:textId="3DDCC5BE" w:rsidR="00AA6DBC" w:rsidRPr="00D236F2" w:rsidRDefault="00C605EB" w:rsidP="00E729AB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D236F2">
        <w:rPr>
          <w:rFonts w:ascii="Arial" w:hAnsi="Arial" w:cs="Arial"/>
          <w:sz w:val="20"/>
          <w:szCs w:val="22"/>
        </w:rPr>
        <w:t>T</w:t>
      </w:r>
      <w:r w:rsidR="00570950" w:rsidRPr="00D236F2">
        <w:rPr>
          <w:rFonts w:ascii="Arial" w:hAnsi="Arial" w:cs="Arial"/>
          <w:sz w:val="20"/>
          <w:szCs w:val="22"/>
        </w:rPr>
        <w:t>ento dodatek č. 1</w:t>
      </w:r>
      <w:r w:rsidRPr="00D236F2">
        <w:rPr>
          <w:rFonts w:ascii="Arial" w:hAnsi="Arial" w:cs="Arial"/>
          <w:sz w:val="20"/>
          <w:szCs w:val="22"/>
        </w:rPr>
        <w:t xml:space="preserve"> se uzavírá v písemné formě, buď v listinné, nebo v elektronické podobě. Je sepsán ve 2 vyhotoveních, ze kterých každá smluvní strana po je</w:t>
      </w:r>
      <w:r w:rsidR="00570950" w:rsidRPr="00D236F2">
        <w:rPr>
          <w:rFonts w:ascii="Arial" w:hAnsi="Arial" w:cs="Arial"/>
          <w:sz w:val="20"/>
          <w:szCs w:val="22"/>
        </w:rPr>
        <w:t>ho</w:t>
      </w:r>
      <w:r w:rsidRPr="00D236F2">
        <w:rPr>
          <w:rFonts w:ascii="Arial" w:hAnsi="Arial" w:cs="Arial"/>
          <w:sz w:val="20"/>
          <w:szCs w:val="22"/>
        </w:rPr>
        <w:t xml:space="preserve"> podepsání obdrží 1 vyhotovení, anebo je vyhotoven elektronicky s připojenými elektronickými podpisy obou smluvních stran</w:t>
      </w:r>
      <w:r w:rsidR="00AA6DBC" w:rsidRPr="00D236F2">
        <w:rPr>
          <w:rFonts w:ascii="Arial" w:hAnsi="Arial" w:cs="Arial"/>
          <w:sz w:val="20"/>
          <w:szCs w:val="22"/>
        </w:rPr>
        <w:t>. Tento dodatek</w:t>
      </w:r>
      <w:r w:rsidR="00570950" w:rsidRPr="00D236F2">
        <w:rPr>
          <w:rFonts w:ascii="Arial" w:hAnsi="Arial" w:cs="Arial"/>
          <w:sz w:val="20"/>
          <w:szCs w:val="22"/>
        </w:rPr>
        <w:t xml:space="preserve"> č. 1</w:t>
      </w:r>
      <w:r w:rsidR="00AA6DBC" w:rsidRPr="00D236F2">
        <w:rPr>
          <w:rFonts w:ascii="Arial" w:hAnsi="Arial" w:cs="Arial"/>
          <w:sz w:val="20"/>
          <w:szCs w:val="22"/>
        </w:rPr>
        <w:t xml:space="preserve"> nabývá platnosti dnem jeho podpisu oběma smluvními stranami a účinnosti dnem jeho uveřejnění v registru smluv dle zákona č. 340/2015 Sb.</w:t>
      </w:r>
    </w:p>
    <w:p w14:paraId="78122A86" w14:textId="5631485A" w:rsidR="00AA6DBC" w:rsidRPr="00D236F2" w:rsidRDefault="00AA6DBC" w:rsidP="00E729AB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D236F2">
        <w:rPr>
          <w:rFonts w:ascii="Arial" w:hAnsi="Arial" w:cs="Arial"/>
          <w:sz w:val="20"/>
          <w:szCs w:val="22"/>
        </w:rPr>
        <w:t xml:space="preserve">Práva a povinnosti </w:t>
      </w:r>
      <w:r w:rsidR="00570950" w:rsidRPr="00D236F2">
        <w:rPr>
          <w:rFonts w:ascii="Arial" w:hAnsi="Arial" w:cs="Arial"/>
          <w:sz w:val="20"/>
          <w:szCs w:val="22"/>
        </w:rPr>
        <w:t xml:space="preserve">smluvních stran </w:t>
      </w:r>
      <w:r w:rsidRPr="00D236F2">
        <w:rPr>
          <w:rFonts w:ascii="Arial" w:hAnsi="Arial" w:cs="Arial"/>
          <w:sz w:val="20"/>
          <w:szCs w:val="22"/>
        </w:rPr>
        <w:t>vyplývající z</w:t>
      </w:r>
      <w:r w:rsidR="00570950" w:rsidRPr="00D236F2">
        <w:rPr>
          <w:rFonts w:ascii="Arial" w:hAnsi="Arial" w:cs="Arial"/>
          <w:sz w:val="20"/>
          <w:szCs w:val="22"/>
        </w:rPr>
        <w:t> </w:t>
      </w:r>
      <w:r w:rsidRPr="00D236F2">
        <w:rPr>
          <w:rFonts w:ascii="Arial" w:hAnsi="Arial" w:cs="Arial"/>
          <w:sz w:val="20"/>
          <w:szCs w:val="22"/>
        </w:rPr>
        <w:t>t</w:t>
      </w:r>
      <w:r w:rsidR="00570950" w:rsidRPr="00D236F2">
        <w:rPr>
          <w:rFonts w:ascii="Arial" w:hAnsi="Arial" w:cs="Arial"/>
          <w:sz w:val="20"/>
          <w:szCs w:val="22"/>
        </w:rPr>
        <w:t>ohoto dodatku č. 1</w:t>
      </w:r>
      <w:r w:rsidRPr="00D236F2">
        <w:rPr>
          <w:rFonts w:ascii="Arial" w:hAnsi="Arial" w:cs="Arial"/>
          <w:sz w:val="20"/>
          <w:szCs w:val="22"/>
        </w:rPr>
        <w:t xml:space="preserve"> se řídí občanským zákoníkem, není-li stanoveno jinak.</w:t>
      </w:r>
    </w:p>
    <w:p w14:paraId="5F1C178C" w14:textId="236FBE05" w:rsidR="007477B3" w:rsidRPr="00D236F2" w:rsidRDefault="00AA6DBC" w:rsidP="00E729AB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 w:rsidRPr="00D236F2">
        <w:rPr>
          <w:rFonts w:ascii="Arial" w:hAnsi="Arial" w:cs="Arial"/>
          <w:sz w:val="20"/>
          <w:szCs w:val="22"/>
        </w:rPr>
        <w:t xml:space="preserve">Obě smluvní strany prohlašují, že </w:t>
      </w:r>
      <w:r w:rsidR="00570950" w:rsidRPr="00D236F2">
        <w:rPr>
          <w:rFonts w:ascii="Arial" w:hAnsi="Arial" w:cs="Arial"/>
          <w:sz w:val="20"/>
          <w:szCs w:val="22"/>
        </w:rPr>
        <w:t>dodatek č. 1</w:t>
      </w:r>
      <w:r w:rsidRPr="00D236F2">
        <w:rPr>
          <w:rFonts w:ascii="Arial" w:hAnsi="Arial" w:cs="Arial"/>
          <w:sz w:val="20"/>
          <w:szCs w:val="22"/>
        </w:rPr>
        <w:t xml:space="preserve"> přečetly, s je</w:t>
      </w:r>
      <w:r w:rsidR="00570950" w:rsidRPr="00D236F2">
        <w:rPr>
          <w:rFonts w:ascii="Arial" w:hAnsi="Arial" w:cs="Arial"/>
          <w:sz w:val="20"/>
          <w:szCs w:val="22"/>
        </w:rPr>
        <w:t>ho</w:t>
      </w:r>
      <w:r w:rsidRPr="00D236F2">
        <w:rPr>
          <w:rFonts w:ascii="Arial" w:hAnsi="Arial" w:cs="Arial"/>
          <w:sz w:val="20"/>
          <w:szCs w:val="22"/>
        </w:rPr>
        <w:t xml:space="preserve"> obsahem souhlasí a na důkaz toho připojují své podpisy.</w:t>
      </w:r>
    </w:p>
    <w:p w14:paraId="53C0382A" w14:textId="77777777" w:rsidR="00042E04" w:rsidRPr="00D236F2" w:rsidRDefault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18"/>
        </w:rPr>
      </w:pPr>
    </w:p>
    <w:p w14:paraId="3D92E510" w14:textId="400E741A" w:rsidR="00363A68" w:rsidRPr="00D236F2" w:rsidRDefault="00363A68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0588DC78" w14:textId="28D10709" w:rsidR="00F82C93" w:rsidRPr="00D236F2" w:rsidRDefault="00F82C93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76079C76" w14:textId="77777777" w:rsidR="00F82C93" w:rsidRPr="00D236F2" w:rsidRDefault="00F82C93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013052A2" w14:textId="44D38FCD" w:rsidR="00511AD3" w:rsidRPr="00D236F2" w:rsidRDefault="00511AD3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76A6902" w14:textId="3115D1BF" w:rsidR="004B44C0" w:rsidRPr="00D236F2" w:rsidRDefault="004B44C0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 w:rsidRPr="00D236F2">
        <w:rPr>
          <w:rFonts w:ascii="Arial" w:hAnsi="Arial" w:cs="Arial"/>
          <w:sz w:val="20"/>
        </w:rPr>
        <w:t>V Praze dne:</w:t>
      </w:r>
      <w:r w:rsidRPr="00D236F2">
        <w:rPr>
          <w:rFonts w:ascii="Arial" w:hAnsi="Arial" w:cs="Arial"/>
          <w:sz w:val="20"/>
        </w:rPr>
        <w:tab/>
      </w:r>
      <w:r w:rsidR="000D40E7">
        <w:rPr>
          <w:rFonts w:ascii="Arial" w:hAnsi="Arial" w:cs="Arial"/>
          <w:sz w:val="20"/>
        </w:rPr>
        <w:tab/>
      </w:r>
      <w:r w:rsidRPr="00D236F2">
        <w:rPr>
          <w:rFonts w:ascii="Arial" w:hAnsi="Arial" w:cs="Arial"/>
          <w:sz w:val="20"/>
        </w:rPr>
        <w:tab/>
        <w:t>V Praze dne:</w:t>
      </w:r>
    </w:p>
    <w:p w14:paraId="584B5588" w14:textId="77777777" w:rsidR="0071346E" w:rsidRPr="00D236F2" w:rsidRDefault="0071346E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5643B27" w14:textId="6CCC7D13" w:rsidR="00042E04" w:rsidRPr="00D236F2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 w:rsidRPr="00D236F2">
        <w:rPr>
          <w:rFonts w:ascii="Arial" w:hAnsi="Arial" w:cs="Arial"/>
          <w:sz w:val="20"/>
        </w:rPr>
        <w:t>Za zhotovitele:</w:t>
      </w:r>
      <w:r w:rsidRPr="00D236F2">
        <w:rPr>
          <w:rFonts w:ascii="Arial" w:hAnsi="Arial" w:cs="Arial"/>
          <w:sz w:val="20"/>
        </w:rPr>
        <w:tab/>
      </w:r>
      <w:r w:rsidRPr="00D236F2">
        <w:rPr>
          <w:rFonts w:ascii="Arial" w:hAnsi="Arial" w:cs="Arial"/>
          <w:sz w:val="20"/>
        </w:rPr>
        <w:tab/>
      </w:r>
      <w:r w:rsidR="000D40E7">
        <w:rPr>
          <w:rFonts w:ascii="Arial" w:hAnsi="Arial" w:cs="Arial"/>
          <w:sz w:val="20"/>
        </w:rPr>
        <w:tab/>
      </w:r>
      <w:r w:rsidRPr="00D236F2">
        <w:rPr>
          <w:rFonts w:ascii="Arial" w:hAnsi="Arial" w:cs="Arial"/>
          <w:sz w:val="20"/>
        </w:rPr>
        <w:t>Za objednatele:</w:t>
      </w:r>
    </w:p>
    <w:p w14:paraId="313E28CD" w14:textId="77777777" w:rsidR="00042E04" w:rsidRPr="00D236F2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38B00DF3" w14:textId="77777777" w:rsidR="00042E04" w:rsidRPr="00D236F2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7DDBD956" w14:textId="2D649FF8" w:rsidR="0012198F" w:rsidRPr="00D236F2" w:rsidRDefault="0012198F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FDD2A9D" w14:textId="291E4B45" w:rsidR="00042E04" w:rsidRPr="00D236F2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0A3A5DC7" w14:textId="77777777" w:rsidR="005621C5" w:rsidRPr="00D236F2" w:rsidRDefault="005621C5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74948D8" w14:textId="77777777" w:rsidR="00511AD3" w:rsidRPr="00D236F2" w:rsidRDefault="00511AD3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72B8A199" w14:textId="77777777" w:rsidR="004070D1" w:rsidRPr="00D236F2" w:rsidRDefault="004070D1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18"/>
        </w:rPr>
      </w:pPr>
    </w:p>
    <w:p w14:paraId="59661592" w14:textId="44CCE079" w:rsidR="00B6391A" w:rsidRPr="00D236F2" w:rsidRDefault="00B6391A" w:rsidP="00B639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  <w:szCs w:val="22"/>
        </w:rPr>
      </w:pPr>
      <w:r w:rsidRPr="00D236F2">
        <w:rPr>
          <w:rFonts w:ascii="Arial" w:hAnsi="Arial" w:cs="Arial"/>
          <w:sz w:val="20"/>
          <w:szCs w:val="22"/>
        </w:rPr>
        <w:t>……………………………………</w:t>
      </w:r>
      <w:r w:rsidRPr="00D236F2">
        <w:rPr>
          <w:rFonts w:ascii="Arial" w:hAnsi="Arial" w:cs="Arial"/>
          <w:sz w:val="20"/>
          <w:szCs w:val="22"/>
        </w:rPr>
        <w:tab/>
      </w:r>
      <w:r w:rsidRPr="00D236F2">
        <w:rPr>
          <w:rFonts w:ascii="Arial" w:hAnsi="Arial" w:cs="Arial"/>
          <w:sz w:val="20"/>
          <w:szCs w:val="22"/>
        </w:rPr>
        <w:tab/>
      </w:r>
      <w:r w:rsidR="000D40E7">
        <w:rPr>
          <w:rFonts w:ascii="Arial" w:hAnsi="Arial" w:cs="Arial"/>
          <w:sz w:val="20"/>
          <w:szCs w:val="22"/>
        </w:rPr>
        <w:tab/>
      </w:r>
      <w:r w:rsidRPr="00D236F2">
        <w:rPr>
          <w:rFonts w:ascii="Arial" w:hAnsi="Arial" w:cs="Arial"/>
          <w:sz w:val="20"/>
          <w:szCs w:val="22"/>
        </w:rPr>
        <w:t>…………………………………</w:t>
      </w:r>
    </w:p>
    <w:p w14:paraId="6AF877F4" w14:textId="5AC6BADD" w:rsidR="00615F8E" w:rsidRPr="00D236F2" w:rsidRDefault="00E620A4" w:rsidP="00EB3657">
      <w:pPr>
        <w:pStyle w:val="Zkladntextodsazen3"/>
        <w:tabs>
          <w:tab w:val="left" w:pos="-1418"/>
          <w:tab w:val="left" w:pos="4536"/>
        </w:tabs>
        <w:ind w:left="0" w:right="-428"/>
        <w:rPr>
          <w:rFonts w:ascii="Arial" w:hAnsi="Arial" w:cs="Arial"/>
          <w:b/>
          <w:sz w:val="20"/>
          <w:szCs w:val="22"/>
        </w:rPr>
      </w:pPr>
      <w:r w:rsidRPr="00E620A4">
        <w:rPr>
          <w:rFonts w:ascii="Arial" w:hAnsi="Arial" w:cs="Arial"/>
          <w:b/>
          <w:sz w:val="20"/>
          <w:szCs w:val="22"/>
        </w:rPr>
        <w:t>JaP-Jacina, s.r.o.</w:t>
      </w:r>
      <w:r w:rsidR="00615F8E" w:rsidRPr="00D236F2">
        <w:rPr>
          <w:rFonts w:ascii="Arial" w:hAnsi="Arial" w:cs="Arial"/>
          <w:b/>
          <w:sz w:val="20"/>
          <w:szCs w:val="22"/>
        </w:rPr>
        <w:tab/>
      </w:r>
      <w:r w:rsidR="00615F8E" w:rsidRPr="00D236F2">
        <w:rPr>
          <w:rFonts w:ascii="Arial" w:hAnsi="Arial" w:cs="Arial"/>
          <w:b/>
          <w:sz w:val="20"/>
          <w:szCs w:val="22"/>
        </w:rPr>
        <w:tab/>
      </w:r>
      <w:r w:rsidR="000D40E7">
        <w:rPr>
          <w:rFonts w:ascii="Arial" w:hAnsi="Arial" w:cs="Arial"/>
          <w:b/>
          <w:sz w:val="20"/>
          <w:szCs w:val="22"/>
        </w:rPr>
        <w:tab/>
      </w:r>
      <w:r w:rsidR="00615F8E" w:rsidRPr="00D236F2">
        <w:rPr>
          <w:rFonts w:ascii="Arial" w:hAnsi="Arial" w:cs="Arial"/>
          <w:b/>
          <w:sz w:val="20"/>
          <w:szCs w:val="22"/>
        </w:rPr>
        <w:t>Národní divadlo</w:t>
      </w:r>
    </w:p>
    <w:p w14:paraId="3AFF0111" w14:textId="35E9CF0C" w:rsidR="00EB3657" w:rsidRPr="00D236F2" w:rsidRDefault="00E620A4" w:rsidP="00EB3657">
      <w:pPr>
        <w:pStyle w:val="Zkladntextodsazen3"/>
        <w:tabs>
          <w:tab w:val="left" w:pos="-1418"/>
          <w:tab w:val="left" w:pos="4536"/>
        </w:tabs>
        <w:ind w:left="0" w:right="-428"/>
        <w:rPr>
          <w:rFonts w:ascii="Arial" w:hAnsi="Arial" w:cs="Arial"/>
          <w:sz w:val="20"/>
          <w:szCs w:val="22"/>
        </w:rPr>
      </w:pPr>
      <w:r w:rsidRPr="00E620A4">
        <w:rPr>
          <w:rFonts w:ascii="Arial" w:hAnsi="Arial" w:cs="Arial"/>
          <w:sz w:val="20"/>
          <w:szCs w:val="22"/>
        </w:rPr>
        <w:t>Petr Jacina</w:t>
      </w:r>
      <w:r w:rsidR="00EB3657" w:rsidRPr="00D236F2">
        <w:rPr>
          <w:rFonts w:ascii="Arial" w:hAnsi="Arial" w:cs="Arial"/>
          <w:sz w:val="20"/>
          <w:szCs w:val="22"/>
        </w:rPr>
        <w:tab/>
      </w:r>
      <w:r w:rsidR="00615F8E" w:rsidRPr="00D236F2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="000D40E7">
        <w:rPr>
          <w:rFonts w:ascii="Arial" w:hAnsi="Arial" w:cs="Arial"/>
          <w:sz w:val="20"/>
          <w:szCs w:val="22"/>
        </w:rPr>
        <w:tab/>
      </w:r>
      <w:r w:rsidR="00EB3657" w:rsidRPr="00D236F2">
        <w:rPr>
          <w:rFonts w:ascii="Arial" w:hAnsi="Arial" w:cs="Arial"/>
          <w:sz w:val="20"/>
          <w:szCs w:val="22"/>
        </w:rPr>
        <w:t>prof. MgA. Jan Burian</w:t>
      </w:r>
    </w:p>
    <w:p w14:paraId="4EC4D520" w14:textId="7E477779" w:rsidR="00C918E8" w:rsidRPr="00D236F2" w:rsidRDefault="00450F2E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  <w:szCs w:val="22"/>
        </w:rPr>
        <w:t>j</w:t>
      </w:r>
      <w:r w:rsidR="00E620A4">
        <w:rPr>
          <w:rFonts w:ascii="Arial" w:hAnsi="Arial" w:cs="Arial"/>
          <w:sz w:val="20"/>
          <w:szCs w:val="22"/>
        </w:rPr>
        <w:t>ednatel</w:t>
      </w:r>
      <w:r w:rsidR="00EB3657" w:rsidRPr="00D236F2">
        <w:rPr>
          <w:rFonts w:ascii="Arial" w:hAnsi="Arial" w:cs="Arial"/>
          <w:sz w:val="20"/>
          <w:szCs w:val="22"/>
        </w:rPr>
        <w:tab/>
      </w:r>
      <w:r w:rsidR="000D40E7">
        <w:rPr>
          <w:rFonts w:ascii="Arial" w:hAnsi="Arial" w:cs="Arial"/>
          <w:sz w:val="20"/>
          <w:szCs w:val="22"/>
        </w:rPr>
        <w:tab/>
      </w:r>
      <w:r w:rsidR="00EB3657" w:rsidRPr="00D236F2">
        <w:rPr>
          <w:rFonts w:ascii="Arial" w:hAnsi="Arial" w:cs="Arial"/>
          <w:sz w:val="20"/>
          <w:szCs w:val="22"/>
        </w:rPr>
        <w:tab/>
        <w:t>generální ředitel Národního divadla</w:t>
      </w:r>
    </w:p>
    <w:p w14:paraId="09A30B07" w14:textId="77777777" w:rsidR="00511AD3" w:rsidRPr="00D236F2" w:rsidRDefault="00511AD3" w:rsidP="004070D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0"/>
        </w:rPr>
      </w:pPr>
    </w:p>
    <w:sectPr w:rsidR="00511AD3" w:rsidRPr="00D236F2" w:rsidSect="005621C5">
      <w:footerReference w:type="default" r:id="rId11"/>
      <w:headerReference w:type="first" r:id="rId12"/>
      <w:footerReference w:type="first" r:id="rId13"/>
      <w:pgSz w:w="11906" w:h="16838" w:code="9"/>
      <w:pgMar w:top="1276" w:right="1418" w:bottom="1276" w:left="1418" w:header="709" w:footer="692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50794" w14:textId="77777777" w:rsidR="009B3E01" w:rsidRDefault="009B3E01">
      <w:r>
        <w:separator/>
      </w:r>
    </w:p>
  </w:endnote>
  <w:endnote w:type="continuationSeparator" w:id="0">
    <w:p w14:paraId="2C61E992" w14:textId="77777777" w:rsidR="009B3E01" w:rsidRDefault="009B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D09E" w14:textId="205CE0AE" w:rsidR="00A746DC" w:rsidRDefault="00A746DC">
    <w:pPr>
      <w:pStyle w:val="Zpat"/>
      <w:jc w:val="right"/>
      <w:rPr>
        <w:b/>
      </w:rPr>
    </w:pP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9E2C96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/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NUMPAGES </w:instrText>
    </w:r>
    <w:r>
      <w:rPr>
        <w:rStyle w:val="slostrnky"/>
        <w:b/>
      </w:rPr>
      <w:fldChar w:fldCharType="separate"/>
    </w:r>
    <w:r w:rsidR="009E2C96">
      <w:rPr>
        <w:rStyle w:val="slostrnky"/>
        <w:b/>
        <w:noProof/>
      </w:rPr>
      <w:t>3</w:t>
    </w:r>
    <w:r>
      <w:rPr>
        <w:rStyle w:val="slostrnky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07749" w14:textId="388E4F47" w:rsidR="00A746DC" w:rsidRDefault="00A746DC">
    <w:pPr>
      <w:pStyle w:val="Zpat"/>
      <w:jc w:val="right"/>
      <w:rPr>
        <w:b/>
      </w:rPr>
    </w:pP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9E2C96">
      <w:rPr>
        <w:rStyle w:val="slostrnky"/>
        <w:b/>
        <w:noProof/>
      </w:rPr>
      <w:t>1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/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NUMPAGES </w:instrText>
    </w:r>
    <w:r>
      <w:rPr>
        <w:rStyle w:val="slostrnky"/>
        <w:b/>
      </w:rPr>
      <w:fldChar w:fldCharType="separate"/>
    </w:r>
    <w:r w:rsidR="009E2C96">
      <w:rPr>
        <w:rStyle w:val="slostrnky"/>
        <w:b/>
        <w:noProof/>
      </w:rPr>
      <w:t>3</w:t>
    </w:r>
    <w:r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2266" w14:textId="77777777" w:rsidR="009B3E01" w:rsidRDefault="009B3E01">
      <w:r>
        <w:separator/>
      </w:r>
    </w:p>
  </w:footnote>
  <w:footnote w:type="continuationSeparator" w:id="0">
    <w:p w14:paraId="027A07C2" w14:textId="77777777" w:rsidR="009B3E01" w:rsidRDefault="009B3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385E6" w14:textId="77777777" w:rsidR="00A746DC" w:rsidRPr="00F61292" w:rsidRDefault="00A746DC" w:rsidP="00F61292">
    <w:pPr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</w:rPr>
      <w:drawing>
        <wp:inline distT="0" distB="0" distL="0" distR="0" wp14:anchorId="523979B2" wp14:editId="01FE6FF8">
          <wp:extent cx="2365375" cy="377825"/>
          <wp:effectExtent l="19050" t="0" r="0" b="0"/>
          <wp:docPr id="9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3" w15:restartNumberingAfterBreak="0">
    <w:nsid w:val="1E3D3DC7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4" w15:restartNumberingAfterBreak="0">
    <w:nsid w:val="1F9F5AC0"/>
    <w:multiLevelType w:val="hybridMultilevel"/>
    <w:tmpl w:val="18640CC0"/>
    <w:lvl w:ilvl="0" w:tplc="297E493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A70C3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6" w15:restartNumberingAfterBreak="0">
    <w:nsid w:val="50F216DF"/>
    <w:multiLevelType w:val="hybridMultilevel"/>
    <w:tmpl w:val="2B085D6E"/>
    <w:lvl w:ilvl="0" w:tplc="C3726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4FF5163"/>
    <w:multiLevelType w:val="singleLevel"/>
    <w:tmpl w:val="6BCE1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8" w15:restartNumberingAfterBreak="0">
    <w:nsid w:val="71F81532"/>
    <w:multiLevelType w:val="hybridMultilevel"/>
    <w:tmpl w:val="A4B8B860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75C54AA2"/>
    <w:multiLevelType w:val="hybridMultilevel"/>
    <w:tmpl w:val="9A96EC16"/>
    <w:lvl w:ilvl="0" w:tplc="D13456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04969936">
    <w:abstractNumId w:val="5"/>
  </w:num>
  <w:num w:numId="2" w16cid:durableId="1927618038">
    <w:abstractNumId w:val="9"/>
  </w:num>
  <w:num w:numId="3" w16cid:durableId="50345802">
    <w:abstractNumId w:val="3"/>
  </w:num>
  <w:num w:numId="4" w16cid:durableId="202989541">
    <w:abstractNumId w:val="8"/>
  </w:num>
  <w:num w:numId="5" w16cid:durableId="1661540808">
    <w:abstractNumId w:val="4"/>
  </w:num>
  <w:num w:numId="6" w16cid:durableId="440034236">
    <w:abstractNumId w:val="6"/>
  </w:num>
  <w:num w:numId="7" w16cid:durableId="28681588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C0"/>
    <w:rsid w:val="00001D6E"/>
    <w:rsid w:val="000040D0"/>
    <w:rsid w:val="0001035C"/>
    <w:rsid w:val="00011EE5"/>
    <w:rsid w:val="000155EC"/>
    <w:rsid w:val="0001560A"/>
    <w:rsid w:val="00015F72"/>
    <w:rsid w:val="000220E3"/>
    <w:rsid w:val="000258DB"/>
    <w:rsid w:val="000263DE"/>
    <w:rsid w:val="0002700B"/>
    <w:rsid w:val="00036217"/>
    <w:rsid w:val="000377CC"/>
    <w:rsid w:val="0004119C"/>
    <w:rsid w:val="00042E04"/>
    <w:rsid w:val="000555F4"/>
    <w:rsid w:val="0005639E"/>
    <w:rsid w:val="00062732"/>
    <w:rsid w:val="000638BF"/>
    <w:rsid w:val="00067120"/>
    <w:rsid w:val="0007327B"/>
    <w:rsid w:val="000734CC"/>
    <w:rsid w:val="00073CA6"/>
    <w:rsid w:val="00075639"/>
    <w:rsid w:val="0007688A"/>
    <w:rsid w:val="00077AB1"/>
    <w:rsid w:val="000833E8"/>
    <w:rsid w:val="0008400E"/>
    <w:rsid w:val="0009391C"/>
    <w:rsid w:val="000A5608"/>
    <w:rsid w:val="000A57B7"/>
    <w:rsid w:val="000A6312"/>
    <w:rsid w:val="000A79A7"/>
    <w:rsid w:val="000B12DC"/>
    <w:rsid w:val="000B4095"/>
    <w:rsid w:val="000B64FD"/>
    <w:rsid w:val="000D40E7"/>
    <w:rsid w:val="000D4A83"/>
    <w:rsid w:val="000D6A96"/>
    <w:rsid w:val="000D71B9"/>
    <w:rsid w:val="000D74D1"/>
    <w:rsid w:val="000D7AD0"/>
    <w:rsid w:val="000E0360"/>
    <w:rsid w:val="000E087B"/>
    <w:rsid w:val="000E1364"/>
    <w:rsid w:val="000F3887"/>
    <w:rsid w:val="000F57BD"/>
    <w:rsid w:val="000F6115"/>
    <w:rsid w:val="0011237A"/>
    <w:rsid w:val="00112D7E"/>
    <w:rsid w:val="001146F3"/>
    <w:rsid w:val="00117D2D"/>
    <w:rsid w:val="0012198F"/>
    <w:rsid w:val="00122A74"/>
    <w:rsid w:val="00131DCC"/>
    <w:rsid w:val="00133504"/>
    <w:rsid w:val="00137763"/>
    <w:rsid w:val="00145369"/>
    <w:rsid w:val="001767CE"/>
    <w:rsid w:val="00177A89"/>
    <w:rsid w:val="0018731C"/>
    <w:rsid w:val="0019577D"/>
    <w:rsid w:val="001B7E01"/>
    <w:rsid w:val="001D766D"/>
    <w:rsid w:val="001E6EBC"/>
    <w:rsid w:val="001F467C"/>
    <w:rsid w:val="00200158"/>
    <w:rsid w:val="002073DE"/>
    <w:rsid w:val="00210617"/>
    <w:rsid w:val="00234164"/>
    <w:rsid w:val="002405F7"/>
    <w:rsid w:val="002464C4"/>
    <w:rsid w:val="00252761"/>
    <w:rsid w:val="00256FCC"/>
    <w:rsid w:val="00257BAF"/>
    <w:rsid w:val="00260633"/>
    <w:rsid w:val="00266014"/>
    <w:rsid w:val="0027215F"/>
    <w:rsid w:val="00283384"/>
    <w:rsid w:val="00283697"/>
    <w:rsid w:val="002A13D6"/>
    <w:rsid w:val="002B0CE2"/>
    <w:rsid w:val="002B28FE"/>
    <w:rsid w:val="002B7BBA"/>
    <w:rsid w:val="002C0B9A"/>
    <w:rsid w:val="002D5C7E"/>
    <w:rsid w:val="0030011F"/>
    <w:rsid w:val="00300B6C"/>
    <w:rsid w:val="00305832"/>
    <w:rsid w:val="0031748F"/>
    <w:rsid w:val="00326D31"/>
    <w:rsid w:val="0033114E"/>
    <w:rsid w:val="00333F44"/>
    <w:rsid w:val="00335812"/>
    <w:rsid w:val="00341AAA"/>
    <w:rsid w:val="00341D1D"/>
    <w:rsid w:val="00350886"/>
    <w:rsid w:val="00360FAD"/>
    <w:rsid w:val="00362253"/>
    <w:rsid w:val="00363A68"/>
    <w:rsid w:val="00374BFC"/>
    <w:rsid w:val="003948BE"/>
    <w:rsid w:val="003A2C6D"/>
    <w:rsid w:val="003A3EC1"/>
    <w:rsid w:val="003A548B"/>
    <w:rsid w:val="003B3063"/>
    <w:rsid w:val="003B51FD"/>
    <w:rsid w:val="003D00EF"/>
    <w:rsid w:val="003D1BEE"/>
    <w:rsid w:val="003D496B"/>
    <w:rsid w:val="003F51CA"/>
    <w:rsid w:val="004070D1"/>
    <w:rsid w:val="00411CE0"/>
    <w:rsid w:val="00425488"/>
    <w:rsid w:val="00431870"/>
    <w:rsid w:val="004344C2"/>
    <w:rsid w:val="00447869"/>
    <w:rsid w:val="00450F2E"/>
    <w:rsid w:val="00461539"/>
    <w:rsid w:val="0046572A"/>
    <w:rsid w:val="004834DD"/>
    <w:rsid w:val="00486CCB"/>
    <w:rsid w:val="00497599"/>
    <w:rsid w:val="004B44C0"/>
    <w:rsid w:val="004B5E37"/>
    <w:rsid w:val="004C7187"/>
    <w:rsid w:val="004E2DD6"/>
    <w:rsid w:val="00511AD3"/>
    <w:rsid w:val="0051422D"/>
    <w:rsid w:val="005167E7"/>
    <w:rsid w:val="0053064F"/>
    <w:rsid w:val="00543F9B"/>
    <w:rsid w:val="00544A71"/>
    <w:rsid w:val="00552878"/>
    <w:rsid w:val="00552E92"/>
    <w:rsid w:val="00555B13"/>
    <w:rsid w:val="005621C5"/>
    <w:rsid w:val="00562FAB"/>
    <w:rsid w:val="005672B0"/>
    <w:rsid w:val="00570950"/>
    <w:rsid w:val="00572CED"/>
    <w:rsid w:val="0057672D"/>
    <w:rsid w:val="00584B86"/>
    <w:rsid w:val="0059236A"/>
    <w:rsid w:val="005A7A72"/>
    <w:rsid w:val="005B05AB"/>
    <w:rsid w:val="005B1271"/>
    <w:rsid w:val="005B5E91"/>
    <w:rsid w:val="005C10B8"/>
    <w:rsid w:val="005C56A0"/>
    <w:rsid w:val="005E3412"/>
    <w:rsid w:val="005F185A"/>
    <w:rsid w:val="005F7921"/>
    <w:rsid w:val="00615F8E"/>
    <w:rsid w:val="0061722C"/>
    <w:rsid w:val="00621978"/>
    <w:rsid w:val="0062216B"/>
    <w:rsid w:val="006272E6"/>
    <w:rsid w:val="00631F7F"/>
    <w:rsid w:val="0064363E"/>
    <w:rsid w:val="006459A4"/>
    <w:rsid w:val="00653270"/>
    <w:rsid w:val="00655E29"/>
    <w:rsid w:val="00666E80"/>
    <w:rsid w:val="0067114E"/>
    <w:rsid w:val="00675D5E"/>
    <w:rsid w:val="00677E06"/>
    <w:rsid w:val="006814BB"/>
    <w:rsid w:val="00691312"/>
    <w:rsid w:val="00694320"/>
    <w:rsid w:val="006A00A3"/>
    <w:rsid w:val="006A1180"/>
    <w:rsid w:val="006A6550"/>
    <w:rsid w:val="006B2CEB"/>
    <w:rsid w:val="006B3AB1"/>
    <w:rsid w:val="006B630F"/>
    <w:rsid w:val="006B6D55"/>
    <w:rsid w:val="006D078F"/>
    <w:rsid w:val="006D6284"/>
    <w:rsid w:val="006E4E29"/>
    <w:rsid w:val="00710F7A"/>
    <w:rsid w:val="0071346E"/>
    <w:rsid w:val="00717DC7"/>
    <w:rsid w:val="00730BC5"/>
    <w:rsid w:val="00731C3F"/>
    <w:rsid w:val="00735556"/>
    <w:rsid w:val="007477B3"/>
    <w:rsid w:val="00750184"/>
    <w:rsid w:val="0075361A"/>
    <w:rsid w:val="00760CBF"/>
    <w:rsid w:val="007629DE"/>
    <w:rsid w:val="00770A18"/>
    <w:rsid w:val="00777A26"/>
    <w:rsid w:val="00782596"/>
    <w:rsid w:val="00791DFB"/>
    <w:rsid w:val="0079787A"/>
    <w:rsid w:val="007A3166"/>
    <w:rsid w:val="007A4C53"/>
    <w:rsid w:val="007B5185"/>
    <w:rsid w:val="007B51F2"/>
    <w:rsid w:val="007B5F6E"/>
    <w:rsid w:val="007B758B"/>
    <w:rsid w:val="007C26F7"/>
    <w:rsid w:val="007C4AB1"/>
    <w:rsid w:val="007C4CAE"/>
    <w:rsid w:val="007D04F2"/>
    <w:rsid w:val="007D5B39"/>
    <w:rsid w:val="007F2352"/>
    <w:rsid w:val="00800F50"/>
    <w:rsid w:val="00806E60"/>
    <w:rsid w:val="00812C9C"/>
    <w:rsid w:val="0081664B"/>
    <w:rsid w:val="00830EA2"/>
    <w:rsid w:val="008335D2"/>
    <w:rsid w:val="008412A1"/>
    <w:rsid w:val="00864562"/>
    <w:rsid w:val="00865B24"/>
    <w:rsid w:val="00866970"/>
    <w:rsid w:val="00882714"/>
    <w:rsid w:val="00882DF2"/>
    <w:rsid w:val="00883580"/>
    <w:rsid w:val="00885117"/>
    <w:rsid w:val="00894214"/>
    <w:rsid w:val="00895ACB"/>
    <w:rsid w:val="008A4FFD"/>
    <w:rsid w:val="008A532E"/>
    <w:rsid w:val="008B05AD"/>
    <w:rsid w:val="008C42DB"/>
    <w:rsid w:val="008D121B"/>
    <w:rsid w:val="008D2333"/>
    <w:rsid w:val="008D242F"/>
    <w:rsid w:val="008D32CB"/>
    <w:rsid w:val="008D60AA"/>
    <w:rsid w:val="008D7710"/>
    <w:rsid w:val="008E0AF5"/>
    <w:rsid w:val="008E3A6B"/>
    <w:rsid w:val="008F356D"/>
    <w:rsid w:val="0092186C"/>
    <w:rsid w:val="009275FC"/>
    <w:rsid w:val="00942108"/>
    <w:rsid w:val="009432F1"/>
    <w:rsid w:val="009435A4"/>
    <w:rsid w:val="00971B9D"/>
    <w:rsid w:val="00975F71"/>
    <w:rsid w:val="009820A4"/>
    <w:rsid w:val="0098484E"/>
    <w:rsid w:val="00985DC7"/>
    <w:rsid w:val="00987FA8"/>
    <w:rsid w:val="009966D3"/>
    <w:rsid w:val="009A1A49"/>
    <w:rsid w:val="009A6969"/>
    <w:rsid w:val="009B3E01"/>
    <w:rsid w:val="009B5CAC"/>
    <w:rsid w:val="009C37CC"/>
    <w:rsid w:val="009C4083"/>
    <w:rsid w:val="009C5A45"/>
    <w:rsid w:val="009C7408"/>
    <w:rsid w:val="009D10BF"/>
    <w:rsid w:val="009D65CF"/>
    <w:rsid w:val="009D6ADA"/>
    <w:rsid w:val="009E158E"/>
    <w:rsid w:val="009E226D"/>
    <w:rsid w:val="009E2C96"/>
    <w:rsid w:val="009F47E7"/>
    <w:rsid w:val="00A11BE7"/>
    <w:rsid w:val="00A12DD8"/>
    <w:rsid w:val="00A1643C"/>
    <w:rsid w:val="00A17409"/>
    <w:rsid w:val="00A24430"/>
    <w:rsid w:val="00A266F5"/>
    <w:rsid w:val="00A27234"/>
    <w:rsid w:val="00A31AD1"/>
    <w:rsid w:val="00A4304D"/>
    <w:rsid w:val="00A45C35"/>
    <w:rsid w:val="00A62024"/>
    <w:rsid w:val="00A65D77"/>
    <w:rsid w:val="00A746DC"/>
    <w:rsid w:val="00A81B2A"/>
    <w:rsid w:val="00A94DBC"/>
    <w:rsid w:val="00A96BE6"/>
    <w:rsid w:val="00AA21F6"/>
    <w:rsid w:val="00AA2855"/>
    <w:rsid w:val="00AA6DBC"/>
    <w:rsid w:val="00AB09B8"/>
    <w:rsid w:val="00AB2B16"/>
    <w:rsid w:val="00AC73A2"/>
    <w:rsid w:val="00AF404D"/>
    <w:rsid w:val="00AF41DC"/>
    <w:rsid w:val="00AF6277"/>
    <w:rsid w:val="00AF722B"/>
    <w:rsid w:val="00B04B07"/>
    <w:rsid w:val="00B21ADD"/>
    <w:rsid w:val="00B433E9"/>
    <w:rsid w:val="00B44347"/>
    <w:rsid w:val="00B54B89"/>
    <w:rsid w:val="00B55DD2"/>
    <w:rsid w:val="00B60FF8"/>
    <w:rsid w:val="00B6391A"/>
    <w:rsid w:val="00B66072"/>
    <w:rsid w:val="00B878FD"/>
    <w:rsid w:val="00B96C58"/>
    <w:rsid w:val="00BA73B8"/>
    <w:rsid w:val="00BB38E5"/>
    <w:rsid w:val="00BC1DE1"/>
    <w:rsid w:val="00BC2DCC"/>
    <w:rsid w:val="00BD78A5"/>
    <w:rsid w:val="00BE66F2"/>
    <w:rsid w:val="00C0498B"/>
    <w:rsid w:val="00C04D78"/>
    <w:rsid w:val="00C07FFD"/>
    <w:rsid w:val="00C114CF"/>
    <w:rsid w:val="00C13E82"/>
    <w:rsid w:val="00C262A1"/>
    <w:rsid w:val="00C26775"/>
    <w:rsid w:val="00C53ED7"/>
    <w:rsid w:val="00C605EB"/>
    <w:rsid w:val="00C620D2"/>
    <w:rsid w:val="00C74DB5"/>
    <w:rsid w:val="00C77029"/>
    <w:rsid w:val="00C85BE5"/>
    <w:rsid w:val="00C918E8"/>
    <w:rsid w:val="00C92F66"/>
    <w:rsid w:val="00C94A73"/>
    <w:rsid w:val="00CA0429"/>
    <w:rsid w:val="00CA1BE8"/>
    <w:rsid w:val="00CA4C77"/>
    <w:rsid w:val="00CB0DA3"/>
    <w:rsid w:val="00CB2AFC"/>
    <w:rsid w:val="00CC0486"/>
    <w:rsid w:val="00CD7556"/>
    <w:rsid w:val="00CE4322"/>
    <w:rsid w:val="00CE6860"/>
    <w:rsid w:val="00CE77B6"/>
    <w:rsid w:val="00D01FD4"/>
    <w:rsid w:val="00D0604D"/>
    <w:rsid w:val="00D176B5"/>
    <w:rsid w:val="00D17BE7"/>
    <w:rsid w:val="00D236F2"/>
    <w:rsid w:val="00D24B52"/>
    <w:rsid w:val="00D351A8"/>
    <w:rsid w:val="00D36F61"/>
    <w:rsid w:val="00D42B0F"/>
    <w:rsid w:val="00D543FE"/>
    <w:rsid w:val="00D632A3"/>
    <w:rsid w:val="00D67E55"/>
    <w:rsid w:val="00D74F80"/>
    <w:rsid w:val="00D83D56"/>
    <w:rsid w:val="00D94E84"/>
    <w:rsid w:val="00DA4B2E"/>
    <w:rsid w:val="00DA6BA5"/>
    <w:rsid w:val="00DB0F76"/>
    <w:rsid w:val="00DB4472"/>
    <w:rsid w:val="00DB68F6"/>
    <w:rsid w:val="00DC130D"/>
    <w:rsid w:val="00DC2472"/>
    <w:rsid w:val="00DC351B"/>
    <w:rsid w:val="00DC4C57"/>
    <w:rsid w:val="00DF42BB"/>
    <w:rsid w:val="00E06B16"/>
    <w:rsid w:val="00E072CD"/>
    <w:rsid w:val="00E13EC4"/>
    <w:rsid w:val="00E23B27"/>
    <w:rsid w:val="00E2673D"/>
    <w:rsid w:val="00E27576"/>
    <w:rsid w:val="00E541E2"/>
    <w:rsid w:val="00E56EE4"/>
    <w:rsid w:val="00E5717B"/>
    <w:rsid w:val="00E620A4"/>
    <w:rsid w:val="00E62705"/>
    <w:rsid w:val="00E729AB"/>
    <w:rsid w:val="00E74A1E"/>
    <w:rsid w:val="00E76A72"/>
    <w:rsid w:val="00E91978"/>
    <w:rsid w:val="00E93B37"/>
    <w:rsid w:val="00E97232"/>
    <w:rsid w:val="00EA1AD5"/>
    <w:rsid w:val="00EA5688"/>
    <w:rsid w:val="00EB308D"/>
    <w:rsid w:val="00EB3657"/>
    <w:rsid w:val="00EB7D35"/>
    <w:rsid w:val="00EC0E51"/>
    <w:rsid w:val="00EC4AB4"/>
    <w:rsid w:val="00ED0EAE"/>
    <w:rsid w:val="00EE5BBC"/>
    <w:rsid w:val="00EF1162"/>
    <w:rsid w:val="00EF75B0"/>
    <w:rsid w:val="00F01722"/>
    <w:rsid w:val="00F0384B"/>
    <w:rsid w:val="00F17C19"/>
    <w:rsid w:val="00F265CB"/>
    <w:rsid w:val="00F26EDE"/>
    <w:rsid w:val="00F3270C"/>
    <w:rsid w:val="00F36488"/>
    <w:rsid w:val="00F37A9C"/>
    <w:rsid w:val="00F57A46"/>
    <w:rsid w:val="00F61292"/>
    <w:rsid w:val="00F62DA8"/>
    <w:rsid w:val="00F66F85"/>
    <w:rsid w:val="00F700DA"/>
    <w:rsid w:val="00F7292E"/>
    <w:rsid w:val="00F74CE6"/>
    <w:rsid w:val="00F82C93"/>
    <w:rsid w:val="00F844D9"/>
    <w:rsid w:val="00F84A1F"/>
    <w:rsid w:val="00F9543F"/>
    <w:rsid w:val="00FA3E2B"/>
    <w:rsid w:val="00FB12CB"/>
    <w:rsid w:val="00FB372B"/>
    <w:rsid w:val="00FB65CF"/>
    <w:rsid w:val="00FC42F3"/>
    <w:rsid w:val="00FC605F"/>
    <w:rsid w:val="00FC7915"/>
    <w:rsid w:val="00FD2700"/>
    <w:rsid w:val="00FD569F"/>
    <w:rsid w:val="00FE1DFC"/>
    <w:rsid w:val="00FE52AF"/>
    <w:rsid w:val="00FF1094"/>
    <w:rsid w:val="00FF4E36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B50F00"/>
  <w15:docId w15:val="{AB5099B9-FF5B-48C4-8EDF-C1D2B0E9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32E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A532E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8A532E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A532E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532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A532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A532E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8A532E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8A532E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8A532E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8A532E"/>
    <w:rPr>
      <w:rFonts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8A532E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A532E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8A532E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A532E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8A5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A532E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8A532E"/>
    <w:rPr>
      <w:rFonts w:cs="Times New Roman"/>
    </w:rPr>
  </w:style>
  <w:style w:type="paragraph" w:styleId="Zhlav">
    <w:name w:val="header"/>
    <w:basedOn w:val="Normln"/>
    <w:link w:val="ZhlavChar"/>
    <w:uiPriority w:val="99"/>
    <w:rsid w:val="008A5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A532E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8A532E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A532E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8A532E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8A532E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8A53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A53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A532E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A532E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A53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532E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semiHidden/>
    <w:rsid w:val="008A532E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A53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8A53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A532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532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5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A532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8A532E"/>
    <w:rPr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8A532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8A532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8A532E"/>
    <w:rPr>
      <w:rFonts w:ascii="Consolas" w:hAnsi="Consolas" w:cs="Times New Roman"/>
      <w:sz w:val="21"/>
      <w:szCs w:val="21"/>
      <w:lang w:eastAsia="en-US"/>
    </w:rPr>
  </w:style>
  <w:style w:type="paragraph" w:customStyle="1" w:styleId="Default">
    <w:name w:val="Default"/>
    <w:uiPriority w:val="99"/>
    <w:rsid w:val="008A53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0384B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1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5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6F6C0F21640429831DA8DBD4D229A" ma:contentTypeVersion="16" ma:contentTypeDescription="Vytvoří nový dokument" ma:contentTypeScope="" ma:versionID="3cbcbf09a2840e802b53d9992fad89af">
  <xsd:schema xmlns:xsd="http://www.w3.org/2001/XMLSchema" xmlns:xs="http://www.w3.org/2001/XMLSchema" xmlns:p="http://schemas.microsoft.com/office/2006/metadata/properties" xmlns:ns3="fd9d3be0-ce8a-4f2a-bc38-31481e71be30" xmlns:ns4="a9e4f861-7bc2-4c28-a406-1c4b4911b0d9" targetNamespace="http://schemas.microsoft.com/office/2006/metadata/properties" ma:root="true" ma:fieldsID="299e7a33e87aef1f5b5be7c6600b5152" ns3:_="" ns4:_="">
    <xsd:import namespace="fd9d3be0-ce8a-4f2a-bc38-31481e71be30"/>
    <xsd:import namespace="a9e4f861-7bc2-4c28-a406-1c4b4911b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3be0-ce8a-4f2a-bc38-31481e71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4f861-7bc2-4c28-a406-1c4b4911b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9d3be0-ce8a-4f2a-bc38-31481e71be3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1B768A-2C52-4ADA-96C5-7FB9AF4B38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1AC94F-8F78-4CAC-B812-64497C141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3be0-ce8a-4f2a-bc38-31481e71be30"/>
    <ds:schemaRef ds:uri="a9e4f861-7bc2-4c28-a406-1c4b4911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2511F3-8320-46F6-A1E8-5A7AD7CABEB6}">
  <ds:schemaRefs>
    <ds:schemaRef ds:uri="http://schemas.microsoft.com/office/2006/metadata/properties"/>
    <ds:schemaRef ds:uri="http://schemas.microsoft.com/office/infopath/2007/PartnerControls"/>
    <ds:schemaRef ds:uri="fd9d3be0-ce8a-4f2a-bc38-31481e71be30"/>
  </ds:schemaRefs>
</ds:datastoreItem>
</file>

<file path=customXml/itemProps4.xml><?xml version="1.0" encoding="utf-8"?>
<ds:datastoreItem xmlns:ds="http://schemas.openxmlformats.org/officeDocument/2006/customXml" ds:itemID="{EBE61880-A6D0-4E45-9449-DF2277C904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HP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subject/>
  <dc:creator>Míka Jan</dc:creator>
  <cp:keywords/>
  <dc:description/>
  <cp:lastModifiedBy>Růžičková Dagmar</cp:lastModifiedBy>
  <cp:revision>3</cp:revision>
  <cp:lastPrinted>2012-12-07T12:54:00Z</cp:lastPrinted>
  <dcterms:created xsi:type="dcterms:W3CDTF">2025-05-28T10:47:00Z</dcterms:created>
  <dcterms:modified xsi:type="dcterms:W3CDTF">2025-05-28T10:47:00Z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0x0101002636F6C0F21640429831DA8DBD4D229A</vt:lpwstr>
  </property>
</Properties>
</file>