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DE37" w14:textId="6AA00EB2" w:rsidR="002971B8" w:rsidRPr="00E6724F" w:rsidRDefault="002971B8" w:rsidP="002971B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6724F">
        <w:rPr>
          <w:rFonts w:ascii="Arial" w:hAnsi="Arial" w:cs="Arial"/>
          <w:b/>
          <w:color w:val="000000" w:themeColor="text1"/>
          <w:sz w:val="28"/>
          <w:szCs w:val="28"/>
        </w:rPr>
        <w:t xml:space="preserve">STUDIE DOPRAVNÍHO MODELU PRO ZÓNY PLACENÉHO STÁNÍ (ZPS) </w:t>
      </w:r>
    </w:p>
    <w:p w14:paraId="43F6C46A" w14:textId="77777777" w:rsidR="002971B8" w:rsidRPr="00E6724F" w:rsidRDefault="002971B8" w:rsidP="002971B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E960722" w14:textId="5FC3DF9F" w:rsidR="002971B8" w:rsidRPr="00E6724F" w:rsidRDefault="00850730" w:rsidP="002971B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6724F">
        <w:rPr>
          <w:rFonts w:ascii="Arial" w:hAnsi="Arial" w:cs="Arial"/>
          <w:b/>
          <w:color w:val="000000" w:themeColor="text1"/>
          <w:sz w:val="28"/>
          <w:szCs w:val="28"/>
        </w:rPr>
        <w:t>Aktualizace koncepce řešení dopravy v klidu na území MČ Praha 12</w:t>
      </w:r>
      <w:r w:rsidR="00304F4D" w:rsidRPr="00E6724F">
        <w:rPr>
          <w:rFonts w:ascii="Arial" w:hAnsi="Arial" w:cs="Arial"/>
          <w:b/>
          <w:color w:val="000000" w:themeColor="text1"/>
          <w:sz w:val="28"/>
          <w:szCs w:val="28"/>
        </w:rPr>
        <w:t xml:space="preserve"> na stav </w:t>
      </w:r>
      <w:r w:rsidR="0080779B" w:rsidRPr="00E6724F">
        <w:rPr>
          <w:rFonts w:ascii="Arial" w:hAnsi="Arial" w:cs="Arial"/>
          <w:b/>
          <w:color w:val="000000" w:themeColor="text1"/>
          <w:sz w:val="28"/>
          <w:szCs w:val="28"/>
        </w:rPr>
        <w:t xml:space="preserve">roku </w:t>
      </w:r>
      <w:r w:rsidR="00304F4D" w:rsidRPr="00E6724F">
        <w:rPr>
          <w:rFonts w:ascii="Arial" w:hAnsi="Arial" w:cs="Arial"/>
          <w:b/>
          <w:color w:val="000000" w:themeColor="text1"/>
          <w:sz w:val="28"/>
          <w:szCs w:val="28"/>
        </w:rPr>
        <w:t>2025</w:t>
      </w:r>
    </w:p>
    <w:p w14:paraId="5AD7E060" w14:textId="77777777" w:rsidR="00304F4D" w:rsidRPr="00E6724F" w:rsidRDefault="00304F4D" w:rsidP="002971B8">
      <w:pPr>
        <w:spacing w:line="360" w:lineRule="auto"/>
        <w:jc w:val="center"/>
        <w:rPr>
          <w:rFonts w:ascii="Arial" w:hAnsi="Arial" w:cs="Arial"/>
        </w:rPr>
      </w:pPr>
    </w:p>
    <w:p w14:paraId="6AD41CEF" w14:textId="77777777" w:rsidR="00850730" w:rsidRPr="00E6724F" w:rsidRDefault="00850730" w:rsidP="00695B86">
      <w:pPr>
        <w:rPr>
          <w:rFonts w:ascii="Arial" w:hAnsi="Arial" w:cs="Arial"/>
          <w:szCs w:val="20"/>
          <w:lang w:eastAsia="cs-CZ"/>
        </w:rPr>
      </w:pPr>
    </w:p>
    <w:p w14:paraId="36398346" w14:textId="013C4C5D" w:rsidR="0001164F" w:rsidRPr="00E6724F" w:rsidRDefault="00B647C1" w:rsidP="0080779B">
      <w:pPr>
        <w:pStyle w:val="Odstavecseseznamem"/>
        <w:numPr>
          <w:ilvl w:val="1"/>
          <w:numId w:val="36"/>
        </w:numPr>
        <w:spacing w:line="360" w:lineRule="auto"/>
        <w:jc w:val="left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>Pasportizace parkovacích kapacit</w:t>
      </w:r>
      <w:r w:rsidR="001C5586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="00304F4D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>–</w:t>
      </w:r>
      <w:r w:rsidR="001C5586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="00304F4D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>aktualizace 2025</w:t>
      </w:r>
    </w:p>
    <w:p w14:paraId="576DF7DC" w14:textId="77777777" w:rsidR="00EC6330" w:rsidRPr="00E6724F" w:rsidRDefault="00AB7BDD" w:rsidP="00AB7BDD">
      <w:pPr>
        <w:pStyle w:val="Seznam2"/>
        <w:tabs>
          <w:tab w:val="clear" w:pos="435"/>
        </w:tabs>
        <w:ind w:left="426"/>
        <w:jc w:val="both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Pasportizací se zjišťuj</w:t>
      </w:r>
      <w:r w:rsidR="00EC6330" w:rsidRPr="00E6724F">
        <w:rPr>
          <w:rFonts w:ascii="Arial" w:hAnsi="Arial" w:cs="Arial"/>
          <w:sz w:val="20"/>
        </w:rPr>
        <w:t xml:space="preserve">e </w:t>
      </w:r>
      <w:r w:rsidRPr="00E6724F">
        <w:rPr>
          <w:rFonts w:ascii="Arial" w:hAnsi="Arial" w:cs="Arial"/>
          <w:sz w:val="20"/>
        </w:rPr>
        <w:t>celková disponibilní parkovací kapacita hodnoceného území</w:t>
      </w:r>
      <w:r w:rsidR="00EC6330" w:rsidRPr="00E6724F">
        <w:rPr>
          <w:rFonts w:ascii="Arial" w:hAnsi="Arial" w:cs="Arial"/>
          <w:sz w:val="20"/>
        </w:rPr>
        <w:t xml:space="preserve">. </w:t>
      </w:r>
    </w:p>
    <w:p w14:paraId="30CA8E30" w14:textId="77777777" w:rsidR="00AB7BDD" w:rsidRPr="00E6724F" w:rsidRDefault="00EC6330" w:rsidP="00AB7BDD">
      <w:pPr>
        <w:pStyle w:val="Seznam2"/>
        <w:tabs>
          <w:tab w:val="clear" w:pos="435"/>
        </w:tabs>
        <w:ind w:left="426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 xml:space="preserve">Pasport </w:t>
      </w:r>
      <w:r w:rsidR="00AB7BDD" w:rsidRPr="00E6724F">
        <w:rPr>
          <w:rFonts w:ascii="Arial" w:hAnsi="Arial" w:cs="Arial"/>
          <w:b w:val="0"/>
          <w:sz w:val="20"/>
        </w:rPr>
        <w:t>zahrnuje:</w:t>
      </w: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5061"/>
        <w:gridCol w:w="4285"/>
      </w:tblGrid>
      <w:tr w:rsidR="00581C0C" w:rsidRPr="00E6724F" w14:paraId="467F2BA6" w14:textId="77777777" w:rsidTr="00581C0C">
        <w:tc>
          <w:tcPr>
            <w:tcW w:w="5181" w:type="dxa"/>
          </w:tcPr>
          <w:p w14:paraId="7AAECAD7" w14:textId="32850745" w:rsidR="00581C0C" w:rsidRPr="00E6724F" w:rsidRDefault="00581C0C" w:rsidP="00581C0C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rPr>
                <w:rFonts w:ascii="Arial" w:hAnsi="Arial" w:cs="Arial"/>
                <w:b w:val="0"/>
                <w:sz w:val="20"/>
              </w:rPr>
            </w:pPr>
            <w:r w:rsidRPr="00E6724F">
              <w:rPr>
                <w:rFonts w:ascii="Arial" w:hAnsi="Arial" w:cs="Arial"/>
                <w:b w:val="0"/>
                <w:sz w:val="20"/>
              </w:rPr>
              <w:t>Model 2014</w:t>
            </w:r>
          </w:p>
        </w:tc>
        <w:tc>
          <w:tcPr>
            <w:tcW w:w="4391" w:type="dxa"/>
          </w:tcPr>
          <w:p w14:paraId="1EA8A2ED" w14:textId="31AD02EF" w:rsidR="00581C0C" w:rsidRPr="00E6724F" w:rsidRDefault="00581C0C" w:rsidP="00581C0C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E6724F">
              <w:rPr>
                <w:rFonts w:ascii="Arial" w:hAnsi="Arial" w:cs="Arial"/>
                <w:bCs/>
                <w:sz w:val="22"/>
                <w:szCs w:val="22"/>
              </w:rPr>
              <w:t>Revize modelu 2025</w:t>
            </w:r>
          </w:p>
        </w:tc>
      </w:tr>
      <w:tr w:rsidR="00581C0C" w:rsidRPr="00E6724F" w14:paraId="519B1021" w14:textId="44EC8654" w:rsidTr="00581C0C">
        <w:tc>
          <w:tcPr>
            <w:tcW w:w="5181" w:type="dxa"/>
          </w:tcPr>
          <w:p w14:paraId="0F768A0F" w14:textId="77777777" w:rsidR="00581C0C" w:rsidRPr="00E6724F" w:rsidRDefault="00581C0C" w:rsidP="00E6724F">
            <w:pPr>
              <w:pStyle w:val="Seznam2"/>
              <w:numPr>
                <w:ilvl w:val="0"/>
                <w:numId w:val="8"/>
              </w:numPr>
              <w:tabs>
                <w:tab w:val="num" w:pos="426"/>
              </w:tabs>
              <w:spacing w:before="120" w:line="320" w:lineRule="exact"/>
              <w:ind w:left="0" w:firstLine="0"/>
              <w:contextualSpacing/>
              <w:jc w:val="both"/>
              <w:rPr>
                <w:rFonts w:ascii="Arial" w:hAnsi="Arial" w:cs="Arial"/>
                <w:b w:val="0"/>
                <w:sz w:val="20"/>
              </w:rPr>
            </w:pPr>
            <w:r w:rsidRPr="00E6724F">
              <w:rPr>
                <w:rFonts w:ascii="Arial" w:hAnsi="Arial" w:cs="Arial"/>
                <w:b w:val="0"/>
                <w:sz w:val="20"/>
              </w:rPr>
              <w:t>Stání na místních komunikacích (způsob stání, kapacita, organizace dopravy v klidu, charakter komunikace,…);</w:t>
            </w:r>
          </w:p>
        </w:tc>
        <w:tc>
          <w:tcPr>
            <w:tcW w:w="4391" w:type="dxa"/>
          </w:tcPr>
          <w:p w14:paraId="40EA18CF" w14:textId="27A1E9BA" w:rsidR="00581C0C" w:rsidRPr="00E6724F" w:rsidRDefault="00581C0C" w:rsidP="00E6724F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724F">
              <w:rPr>
                <w:rFonts w:ascii="Arial" w:hAnsi="Arial" w:cs="Arial"/>
                <w:bCs/>
                <w:sz w:val="22"/>
                <w:szCs w:val="22"/>
              </w:rPr>
              <w:t>Kompletní upgra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</w:tr>
      <w:tr w:rsidR="00581C0C" w:rsidRPr="00E6724F" w14:paraId="13437AF5" w14:textId="6FC6A44C" w:rsidTr="00581C0C">
        <w:tc>
          <w:tcPr>
            <w:tcW w:w="5181" w:type="dxa"/>
          </w:tcPr>
          <w:p w14:paraId="44C6A20C" w14:textId="77777777" w:rsidR="00581C0C" w:rsidRPr="00E6724F" w:rsidRDefault="00581C0C" w:rsidP="00E6724F">
            <w:pPr>
              <w:pStyle w:val="Seznam2"/>
              <w:numPr>
                <w:ilvl w:val="0"/>
                <w:numId w:val="8"/>
              </w:numPr>
              <w:tabs>
                <w:tab w:val="num" w:pos="426"/>
              </w:tabs>
              <w:spacing w:before="120" w:line="320" w:lineRule="exact"/>
              <w:ind w:left="0" w:firstLine="0"/>
              <w:contextualSpacing/>
              <w:jc w:val="both"/>
              <w:rPr>
                <w:rFonts w:ascii="Arial" w:hAnsi="Arial" w:cs="Arial"/>
                <w:b w:val="0"/>
                <w:sz w:val="20"/>
              </w:rPr>
            </w:pPr>
            <w:r w:rsidRPr="00E6724F">
              <w:rPr>
                <w:rFonts w:ascii="Arial" w:hAnsi="Arial" w:cs="Arial"/>
                <w:b w:val="0"/>
                <w:sz w:val="20"/>
              </w:rPr>
              <w:t>Hlídané parkovací plochy (kapacita,  členění na veřejné a neveřejné parkovací kapacity provozní režim, ceny,...)</w:t>
            </w:r>
          </w:p>
        </w:tc>
        <w:tc>
          <w:tcPr>
            <w:tcW w:w="4391" w:type="dxa"/>
          </w:tcPr>
          <w:p w14:paraId="3299F56A" w14:textId="00C247FF" w:rsidR="00581C0C" w:rsidRPr="00E6724F" w:rsidRDefault="00581C0C" w:rsidP="00E6724F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724F">
              <w:rPr>
                <w:rFonts w:ascii="Arial" w:hAnsi="Arial" w:cs="Arial"/>
                <w:bCs/>
                <w:sz w:val="22"/>
                <w:szCs w:val="22"/>
              </w:rPr>
              <w:t>Upgra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e veřejných kapacit</w:t>
            </w:r>
          </w:p>
        </w:tc>
      </w:tr>
      <w:tr w:rsidR="00581C0C" w:rsidRPr="00E6724F" w14:paraId="4945E792" w14:textId="5768BC72" w:rsidTr="00581C0C">
        <w:tc>
          <w:tcPr>
            <w:tcW w:w="5181" w:type="dxa"/>
          </w:tcPr>
          <w:p w14:paraId="1ED0BF41" w14:textId="77777777" w:rsidR="00581C0C" w:rsidRPr="00E6724F" w:rsidRDefault="00581C0C" w:rsidP="00E6724F">
            <w:pPr>
              <w:pStyle w:val="Seznam2"/>
              <w:numPr>
                <w:ilvl w:val="0"/>
                <w:numId w:val="8"/>
              </w:numPr>
              <w:tabs>
                <w:tab w:val="num" w:pos="426"/>
              </w:tabs>
              <w:spacing w:before="120" w:line="320" w:lineRule="exact"/>
              <w:ind w:left="0" w:firstLine="0"/>
              <w:contextualSpacing/>
              <w:jc w:val="both"/>
              <w:rPr>
                <w:rFonts w:ascii="Arial" w:hAnsi="Arial" w:cs="Arial"/>
                <w:b w:val="0"/>
                <w:sz w:val="20"/>
              </w:rPr>
            </w:pPr>
            <w:r w:rsidRPr="00E6724F">
              <w:rPr>
                <w:rFonts w:ascii="Arial" w:hAnsi="Arial" w:cs="Arial"/>
                <w:b w:val="0"/>
                <w:sz w:val="20"/>
              </w:rPr>
              <w:t>Hromadné garážové kapacity (kapacita, členění na veřejné a neveřejné parkovací kapacity, provozní doba, ceny,...)</w:t>
            </w:r>
          </w:p>
        </w:tc>
        <w:tc>
          <w:tcPr>
            <w:tcW w:w="4391" w:type="dxa"/>
          </w:tcPr>
          <w:p w14:paraId="6812528E" w14:textId="09CB3C06" w:rsidR="00581C0C" w:rsidRPr="00E6724F" w:rsidRDefault="00581C0C" w:rsidP="00E6724F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724F">
              <w:rPr>
                <w:rFonts w:ascii="Arial" w:hAnsi="Arial" w:cs="Arial"/>
                <w:bCs/>
                <w:sz w:val="22"/>
                <w:szCs w:val="22"/>
              </w:rPr>
              <w:t>Upgra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e veřejných kapacit</w:t>
            </w:r>
          </w:p>
        </w:tc>
      </w:tr>
      <w:tr w:rsidR="00581C0C" w:rsidRPr="00E6724F" w14:paraId="1AE99982" w14:textId="21F5F611" w:rsidTr="00581C0C">
        <w:tc>
          <w:tcPr>
            <w:tcW w:w="5181" w:type="dxa"/>
          </w:tcPr>
          <w:p w14:paraId="19D1A668" w14:textId="77777777" w:rsidR="00581C0C" w:rsidRPr="00E6724F" w:rsidRDefault="00581C0C" w:rsidP="00E6724F">
            <w:pPr>
              <w:pStyle w:val="Seznam2"/>
              <w:numPr>
                <w:ilvl w:val="0"/>
                <w:numId w:val="8"/>
              </w:numPr>
              <w:tabs>
                <w:tab w:val="num" w:pos="426"/>
              </w:tabs>
              <w:spacing w:before="120" w:line="320" w:lineRule="exact"/>
              <w:ind w:left="0" w:firstLine="0"/>
              <w:contextualSpacing/>
              <w:jc w:val="both"/>
              <w:rPr>
                <w:rFonts w:ascii="Arial" w:hAnsi="Arial" w:cs="Arial"/>
                <w:b w:val="0"/>
                <w:sz w:val="20"/>
              </w:rPr>
            </w:pPr>
            <w:r w:rsidRPr="00E6724F">
              <w:rPr>
                <w:rFonts w:ascii="Arial" w:hAnsi="Arial" w:cs="Arial"/>
                <w:b w:val="0"/>
                <w:sz w:val="20"/>
              </w:rPr>
              <w:t>Individuální garáže (kapacita, typ,…)</w:t>
            </w:r>
          </w:p>
        </w:tc>
        <w:tc>
          <w:tcPr>
            <w:tcW w:w="4391" w:type="dxa"/>
          </w:tcPr>
          <w:p w14:paraId="73EDB3E7" w14:textId="3BE72F6E" w:rsidR="00581C0C" w:rsidRPr="00E6724F" w:rsidRDefault="00581C0C" w:rsidP="00E6724F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724F">
              <w:rPr>
                <w:rFonts w:ascii="Arial" w:hAnsi="Arial" w:cs="Arial"/>
                <w:bCs/>
                <w:sz w:val="22"/>
                <w:szCs w:val="22"/>
              </w:rPr>
              <w:t>Stav 2017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odhad nové výstavy</w:t>
            </w:r>
          </w:p>
        </w:tc>
      </w:tr>
      <w:tr w:rsidR="00581C0C" w:rsidRPr="00E6724F" w14:paraId="7C667269" w14:textId="011B9AEF" w:rsidTr="00581C0C">
        <w:tc>
          <w:tcPr>
            <w:tcW w:w="5181" w:type="dxa"/>
          </w:tcPr>
          <w:p w14:paraId="0EB2CCC6" w14:textId="77777777" w:rsidR="00581C0C" w:rsidRPr="00E6724F" w:rsidRDefault="00581C0C" w:rsidP="00E6724F">
            <w:pPr>
              <w:pStyle w:val="Seznam2"/>
              <w:numPr>
                <w:ilvl w:val="0"/>
                <w:numId w:val="8"/>
              </w:numPr>
              <w:tabs>
                <w:tab w:val="num" w:pos="426"/>
              </w:tabs>
              <w:spacing w:before="120" w:line="320" w:lineRule="exact"/>
              <w:ind w:left="0" w:firstLine="0"/>
              <w:contextualSpacing/>
              <w:jc w:val="both"/>
              <w:rPr>
                <w:rFonts w:ascii="Arial" w:hAnsi="Arial" w:cs="Arial"/>
                <w:b w:val="0"/>
                <w:sz w:val="20"/>
              </w:rPr>
            </w:pPr>
            <w:r w:rsidRPr="00E6724F">
              <w:rPr>
                <w:rFonts w:ascii="Arial" w:hAnsi="Arial" w:cs="Arial"/>
                <w:b w:val="0"/>
                <w:sz w:val="20"/>
              </w:rPr>
              <w:t>Parkování ve vnitroblocích (kapacita, členění na veřejné a neveřejné parkovací kapacity)</w:t>
            </w:r>
          </w:p>
        </w:tc>
        <w:tc>
          <w:tcPr>
            <w:tcW w:w="4391" w:type="dxa"/>
          </w:tcPr>
          <w:p w14:paraId="1B137999" w14:textId="168B9371" w:rsidR="00581C0C" w:rsidRPr="00E6724F" w:rsidRDefault="00581C0C" w:rsidP="00E6724F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724F">
              <w:rPr>
                <w:rFonts w:ascii="Arial" w:hAnsi="Arial" w:cs="Arial"/>
                <w:bCs/>
                <w:sz w:val="22"/>
                <w:szCs w:val="22"/>
              </w:rPr>
              <w:t>Stav 2017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odhad nové výstavy</w:t>
            </w:r>
          </w:p>
        </w:tc>
      </w:tr>
      <w:tr w:rsidR="00581C0C" w:rsidRPr="00E6724F" w14:paraId="14FD96CE" w14:textId="552CB3F4" w:rsidTr="00581C0C">
        <w:tc>
          <w:tcPr>
            <w:tcW w:w="5181" w:type="dxa"/>
          </w:tcPr>
          <w:p w14:paraId="014025FA" w14:textId="77777777" w:rsidR="00581C0C" w:rsidRPr="00E6724F" w:rsidRDefault="00581C0C" w:rsidP="00E6724F">
            <w:pPr>
              <w:pStyle w:val="Seznam2"/>
              <w:numPr>
                <w:ilvl w:val="0"/>
                <w:numId w:val="8"/>
              </w:numPr>
              <w:tabs>
                <w:tab w:val="num" w:pos="426"/>
              </w:tabs>
              <w:spacing w:before="120" w:line="320" w:lineRule="exact"/>
              <w:ind w:left="0" w:firstLine="0"/>
              <w:contextualSpacing/>
              <w:jc w:val="both"/>
              <w:rPr>
                <w:rFonts w:ascii="Arial" w:hAnsi="Arial" w:cs="Arial"/>
                <w:b w:val="0"/>
                <w:sz w:val="20"/>
              </w:rPr>
            </w:pPr>
            <w:r w:rsidRPr="00E6724F">
              <w:rPr>
                <w:rFonts w:ascii="Arial" w:hAnsi="Arial" w:cs="Arial"/>
                <w:b w:val="0"/>
                <w:sz w:val="20"/>
              </w:rPr>
              <w:t>Parkování ve vnitroblocích na volné ploše (kapacita, členění na veřejné a neveřejné parkovací kapacity)</w:t>
            </w:r>
          </w:p>
        </w:tc>
        <w:tc>
          <w:tcPr>
            <w:tcW w:w="4391" w:type="dxa"/>
          </w:tcPr>
          <w:p w14:paraId="2F008706" w14:textId="476A4D94" w:rsidR="00581C0C" w:rsidRPr="00E6724F" w:rsidRDefault="00581C0C" w:rsidP="00E6724F">
            <w:pPr>
              <w:pStyle w:val="Seznam2"/>
              <w:tabs>
                <w:tab w:val="clear" w:pos="435"/>
              </w:tabs>
              <w:spacing w:before="120" w:line="320" w:lineRule="exact"/>
              <w:ind w:left="0" w:firstLine="0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724F">
              <w:rPr>
                <w:rFonts w:ascii="Arial" w:hAnsi="Arial" w:cs="Arial"/>
                <w:bCs/>
                <w:sz w:val="22"/>
                <w:szCs w:val="22"/>
              </w:rPr>
              <w:t>Stav 2017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="00850730" w:rsidRPr="00E672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6724F">
              <w:rPr>
                <w:rFonts w:ascii="Arial" w:hAnsi="Arial" w:cs="Arial"/>
                <w:bCs/>
                <w:sz w:val="22"/>
                <w:szCs w:val="22"/>
              </w:rPr>
              <w:t>odhad nové výstavy</w:t>
            </w:r>
          </w:p>
        </w:tc>
      </w:tr>
    </w:tbl>
    <w:p w14:paraId="67348FB8" w14:textId="77777777" w:rsidR="00273D07" w:rsidRPr="00E6724F" w:rsidRDefault="00273D07" w:rsidP="00273D07">
      <w:pPr>
        <w:pStyle w:val="Seznam2"/>
        <w:tabs>
          <w:tab w:val="clear" w:pos="435"/>
        </w:tabs>
        <w:ind w:left="0" w:firstLine="708"/>
        <w:jc w:val="both"/>
        <w:rPr>
          <w:rFonts w:ascii="Arial" w:hAnsi="Arial" w:cs="Arial"/>
          <w:b w:val="0"/>
          <w:sz w:val="20"/>
        </w:rPr>
      </w:pPr>
    </w:p>
    <w:p w14:paraId="667A81A0" w14:textId="77777777" w:rsidR="00EC6330" w:rsidRPr="00E6724F" w:rsidRDefault="00EC6330" w:rsidP="00EC6330">
      <w:pPr>
        <w:pStyle w:val="Nadpis3"/>
        <w:rPr>
          <w:rFonts w:ascii="Arial" w:hAnsi="Arial" w:cs="Arial"/>
        </w:rPr>
      </w:pPr>
      <w:r w:rsidRPr="00E6724F">
        <w:rPr>
          <w:rFonts w:ascii="Arial" w:hAnsi="Arial" w:cs="Arial"/>
        </w:rPr>
        <w:t xml:space="preserve">Pasport parkovacích stání na místních komunikacích </w:t>
      </w:r>
    </w:p>
    <w:p w14:paraId="04CBB3AA" w14:textId="77777777" w:rsidR="00273D07" w:rsidRPr="00E6724F" w:rsidRDefault="00273D07" w:rsidP="00273D07">
      <w:pPr>
        <w:pStyle w:val="Seznam2"/>
        <w:tabs>
          <w:tab w:val="clear" w:pos="435"/>
        </w:tabs>
        <w:ind w:left="0" w:firstLine="708"/>
        <w:jc w:val="both"/>
        <w:rPr>
          <w:rFonts w:ascii="Arial" w:hAnsi="Arial" w:cs="Arial"/>
          <w:b w:val="0"/>
          <w:bCs/>
          <w:sz w:val="20"/>
        </w:rPr>
      </w:pPr>
      <w:r w:rsidRPr="00E6724F">
        <w:rPr>
          <w:rFonts w:ascii="Arial" w:hAnsi="Arial" w:cs="Arial"/>
          <w:b w:val="0"/>
          <w:sz w:val="20"/>
        </w:rPr>
        <w:t xml:space="preserve">Při zpracování pasportu parkovacích stání na místních komunikacích zpracovatel musí respektovat stávající platné dopravní značení, zákon 361/2000 Sb. o provozu na pozemních komunikacích ve znění pozdějších předpisů a vyhlášku ministerstva dopravy č. 30/2001, „O pravidlech silničního provozu“ ve znění pozdějších předpisů. </w:t>
      </w:r>
    </w:p>
    <w:p w14:paraId="15B840C0" w14:textId="77777777" w:rsidR="00273D07" w:rsidRPr="00E6724F" w:rsidRDefault="00273D07" w:rsidP="00273D07">
      <w:pPr>
        <w:pStyle w:val="Seznam2"/>
        <w:tabs>
          <w:tab w:val="clear" w:pos="435"/>
        </w:tabs>
        <w:ind w:left="0" w:firstLine="708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 xml:space="preserve">Při stanovení velikosti parkovacích stání zpracovatel zpravidla respektuje rozměry stanovené ČSN 73 6056, a to v jejím původním znění. Při zpracování pasportu je vhodné v maximální možné míře použít </w:t>
      </w:r>
      <w:r w:rsidRPr="00E6724F">
        <w:rPr>
          <w:rFonts w:ascii="Arial" w:hAnsi="Arial" w:cs="Arial"/>
          <w:b w:val="0"/>
          <w:sz w:val="20"/>
        </w:rPr>
        <w:lastRenderedPageBreak/>
        <w:t xml:space="preserve">ustanovení novelizované ČSN 73 6110 – Projektování místních komunikací. Novelizace z roku 2005 umožňuje použít odlišné hodnoty pro šířkové profily komunikací, umožňuje realizovat „výhybny“ a „obratiště“ a to vše s cílem dosáhnout optimálního využití disponibilního prostoru. </w:t>
      </w:r>
    </w:p>
    <w:p w14:paraId="5898BDDF" w14:textId="77777777" w:rsidR="00273D07" w:rsidRPr="00E6724F" w:rsidRDefault="00273D07" w:rsidP="00273D07">
      <w:pPr>
        <w:pStyle w:val="Seznam2"/>
        <w:tabs>
          <w:tab w:val="clear" w:pos="435"/>
        </w:tabs>
        <w:ind w:left="0" w:firstLine="708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>Současně při posuzování jednotlivých komunikací zpracovatel posuzuje jejich dopravní zatížení a umístění v prostoru. V případě dopravně významných komunikací s vysokými intenzitami provozu a průměrnými rychlostmi jedoucích vozidel na hranicích příslušných zákonných limitů je parkovací kapacita posuzována striktně podle zákona a norem. Na rozdíl od komunikací, které plní obslužnou funkci uvnitř zastavěného území, a kde by v budoucnu mělo být dosaženo i zklidnění dopravních toků (zóny tempo 30 apod.). Na tyto vnitřní území, kde je vysoký podíl funkce bydlení, se nahlíží jako na „obytné zóny“ a parkovací kapacita se stanovuje na horní možné hranici technické využitelnosti území.</w:t>
      </w:r>
    </w:p>
    <w:p w14:paraId="76B8EFB9" w14:textId="77777777" w:rsidR="00273D07" w:rsidRPr="00E6724F" w:rsidRDefault="00273D07" w:rsidP="00273D07">
      <w:pPr>
        <w:pStyle w:val="Seznam2"/>
        <w:tabs>
          <w:tab w:val="clear" w:pos="435"/>
        </w:tabs>
        <w:ind w:left="0" w:firstLine="708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>Tuto metodiku je nutno použít s ohledem na zjištění skutečných kapacitních možností území. Vychází se přitom z nároků na velikost stání odpovídající skutečné skladbě parkujících OA zjištěných při fyzickém měření v terénu. Je třeba si uvědomit, že norma reagovala na technický rozvoj, kdy došlo k podstatnému zvýšení manipulačních schopností OA (posilovače řízení atd.)</w:t>
      </w:r>
    </w:p>
    <w:p w14:paraId="2FD172A3" w14:textId="77777777" w:rsidR="00273D07" w:rsidRPr="00E6724F" w:rsidRDefault="00273D07" w:rsidP="00273D07">
      <w:pPr>
        <w:pStyle w:val="Seznam2"/>
        <w:tabs>
          <w:tab w:val="clear" w:pos="435"/>
        </w:tabs>
        <w:ind w:hanging="9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>Při určení kapacit jsou doporučeny následující rozměrové předpoklady:</w:t>
      </w:r>
    </w:p>
    <w:p w14:paraId="11279662" w14:textId="77777777" w:rsidR="00273D07" w:rsidRPr="00E6724F" w:rsidRDefault="00273D07" w:rsidP="00273D07">
      <w:pPr>
        <w:pStyle w:val="Seznam2"/>
        <w:numPr>
          <w:ilvl w:val="0"/>
          <w:numId w:val="7"/>
        </w:numPr>
        <w:tabs>
          <w:tab w:val="clear" w:pos="1068"/>
          <w:tab w:val="num" w:pos="786"/>
        </w:tabs>
        <w:ind w:left="786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>délka hrany potřebná pro kolmé stání je 2,40 m, pro šikmé 2,80 m a podélné 5,50 m. Uvedené parametry vycházejí z dřívějších měření provedených na území Prahy;</w:t>
      </w:r>
    </w:p>
    <w:p w14:paraId="36C0E5CC" w14:textId="77777777" w:rsidR="00273D07" w:rsidRPr="00E6724F" w:rsidRDefault="00273D07" w:rsidP="00273D07">
      <w:pPr>
        <w:pStyle w:val="Seznam2"/>
        <w:numPr>
          <w:ilvl w:val="0"/>
          <w:numId w:val="7"/>
        </w:numPr>
        <w:tabs>
          <w:tab w:val="clear" w:pos="1068"/>
          <w:tab w:val="num" w:pos="786"/>
        </w:tabs>
        <w:ind w:left="786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 xml:space="preserve">hloubka parkovacího stání je kolmého stání minimálně 4,50 m, u šikmého 4,80 m (a jsou využívané převisy části vozu nad chodníkem) a podélného 2,00 m; </w:t>
      </w:r>
    </w:p>
    <w:p w14:paraId="213CA5CB" w14:textId="77777777" w:rsidR="00273D07" w:rsidRPr="00E6724F" w:rsidRDefault="00273D07" w:rsidP="00273D07">
      <w:pPr>
        <w:pStyle w:val="Seznam2"/>
        <w:numPr>
          <w:ilvl w:val="0"/>
          <w:numId w:val="7"/>
        </w:numPr>
        <w:tabs>
          <w:tab w:val="clear" w:pos="1068"/>
          <w:tab w:val="num" w:pos="786"/>
        </w:tabs>
        <w:ind w:left="786"/>
        <w:jc w:val="both"/>
        <w:rPr>
          <w:rFonts w:ascii="Arial" w:hAnsi="Arial" w:cs="Arial"/>
          <w:b w:val="0"/>
          <w:sz w:val="20"/>
        </w:rPr>
      </w:pPr>
      <w:r w:rsidRPr="00E6724F">
        <w:rPr>
          <w:rFonts w:ascii="Arial" w:hAnsi="Arial" w:cs="Arial"/>
          <w:b w:val="0"/>
          <w:sz w:val="20"/>
        </w:rPr>
        <w:t xml:space="preserve">minimální volný jízdní pruh na obslužných komunikacích je při jednosměrném provozu 3,0 m a při obousměrném provozu 3,50 m (využití „výhyben“, …). </w:t>
      </w:r>
    </w:p>
    <w:p w14:paraId="2EB118B1" w14:textId="77777777" w:rsidR="00273D07" w:rsidRPr="00E6724F" w:rsidRDefault="00273D07" w:rsidP="00273D07">
      <w:pPr>
        <w:rPr>
          <w:rFonts w:ascii="Arial" w:hAnsi="Arial" w:cs="Arial"/>
        </w:rPr>
      </w:pPr>
      <w:r w:rsidRPr="00E6724F">
        <w:rPr>
          <w:rFonts w:ascii="Arial" w:hAnsi="Arial" w:cs="Arial"/>
        </w:rPr>
        <w:t>Pasport je vytištěn v měřítku 1: 1</w:t>
      </w:r>
      <w:r w:rsidR="00EC6330" w:rsidRPr="00E6724F">
        <w:rPr>
          <w:rFonts w:ascii="Arial" w:hAnsi="Arial" w:cs="Arial"/>
        </w:rPr>
        <w:t> </w:t>
      </w:r>
      <w:r w:rsidRPr="00E6724F">
        <w:rPr>
          <w:rFonts w:ascii="Arial" w:hAnsi="Arial" w:cs="Arial"/>
        </w:rPr>
        <w:t>000.</w:t>
      </w:r>
    </w:p>
    <w:p w14:paraId="1C701C46" w14:textId="77777777" w:rsidR="00EC6330" w:rsidRPr="00E6724F" w:rsidRDefault="00EC6330" w:rsidP="00EC6330">
      <w:pPr>
        <w:pStyle w:val="Nadpis3"/>
        <w:rPr>
          <w:rFonts w:ascii="Arial" w:hAnsi="Arial" w:cs="Arial"/>
        </w:rPr>
      </w:pPr>
      <w:r w:rsidRPr="00E6724F">
        <w:rPr>
          <w:rFonts w:ascii="Arial" w:hAnsi="Arial" w:cs="Arial"/>
        </w:rPr>
        <w:t>Pasport parkovacích stání mimo místn</w:t>
      </w:r>
      <w:r w:rsidR="001C5586" w:rsidRPr="00E6724F">
        <w:rPr>
          <w:rFonts w:ascii="Arial" w:hAnsi="Arial" w:cs="Arial"/>
        </w:rPr>
        <w:t xml:space="preserve">í komunikace </w:t>
      </w:r>
    </w:p>
    <w:p w14:paraId="13F97BA1" w14:textId="77777777" w:rsidR="00AB7BDD" w:rsidRPr="00E6724F" w:rsidRDefault="00AB7BDD" w:rsidP="00AB7BDD">
      <w:pPr>
        <w:ind w:firstLine="567"/>
        <w:rPr>
          <w:rFonts w:ascii="Arial" w:hAnsi="Arial" w:cs="Arial"/>
        </w:rPr>
      </w:pPr>
      <w:r w:rsidRPr="00E6724F">
        <w:rPr>
          <w:rFonts w:ascii="Arial" w:hAnsi="Arial" w:cs="Arial"/>
        </w:rPr>
        <w:t>Součástí celkové parkovací kapacity jsou mimo PS na místních komunikacích rovněž kapacity v hromadných a individuálních garážích</w:t>
      </w:r>
      <w:r w:rsidR="001F7D6A" w:rsidRPr="00E6724F">
        <w:rPr>
          <w:rFonts w:ascii="Arial" w:hAnsi="Arial" w:cs="Arial"/>
        </w:rPr>
        <w:t xml:space="preserve">, na volných plochách, </w:t>
      </w:r>
      <w:r w:rsidRPr="00E6724F">
        <w:rPr>
          <w:rFonts w:ascii="Arial" w:hAnsi="Arial" w:cs="Arial"/>
        </w:rPr>
        <w:t xml:space="preserve">ve vnitroblocích a komunikacích, které nejsou zatříděny jako MK (např. parkoviště soukromých subjektů). Informace o rozsahu těchto parkovacích kapacit slouží k celkové objektivitě a komplexnosti </w:t>
      </w:r>
      <w:r w:rsidR="00273D07" w:rsidRPr="00E6724F">
        <w:rPr>
          <w:rFonts w:ascii="Arial" w:hAnsi="Arial" w:cs="Arial"/>
        </w:rPr>
        <w:t>podkladů</w:t>
      </w:r>
      <w:r w:rsidRPr="00E6724F">
        <w:rPr>
          <w:rFonts w:ascii="Arial" w:hAnsi="Arial" w:cs="Arial"/>
        </w:rPr>
        <w:t>. Fyzické zjištění potřebných parkovacích kapacit, jejich přesnost a úplnost je limitována možností vstupu do objektů, jejich dostupností popř. ochotou ke spolupráci provozovatelů a vlastníků jednotlivých objektů. Z uvedených důvodů musí zpracovatel v některých případech parkovací kapacitu stanovit odhadem.</w:t>
      </w:r>
    </w:p>
    <w:p w14:paraId="65088CED" w14:textId="6C53974F" w:rsidR="0080779B" w:rsidRPr="00E6724F" w:rsidRDefault="00AB7BDD" w:rsidP="00AB7BDD">
      <w:pPr>
        <w:rPr>
          <w:rFonts w:ascii="Arial" w:hAnsi="Arial" w:cs="Arial"/>
        </w:rPr>
      </w:pPr>
      <w:r w:rsidRPr="00E6724F">
        <w:rPr>
          <w:rFonts w:ascii="Arial" w:hAnsi="Arial" w:cs="Arial"/>
        </w:rPr>
        <w:t xml:space="preserve"> </w:t>
      </w:r>
      <w:r w:rsidRPr="00E6724F">
        <w:rPr>
          <w:rFonts w:ascii="Arial" w:hAnsi="Arial" w:cs="Arial"/>
        </w:rPr>
        <w:tab/>
        <w:t xml:space="preserve">Zatřídění parkovacích kapacit do místních komunikací je nutno v některých nejasných případech konzultovat se silničním správním úřadem a  databází spravovanou TSK hl. m. Prahy. Seznam MK je otevřený systém, který se neustále vyvíjí a doplňuje. Proto i parkovací kapacity na MK na hodnoceném území nejsou konečné a jsou výsledkem vlastního dopravního průzkumu konzultovaného se správcem komunikací. </w:t>
      </w:r>
    </w:p>
    <w:p w14:paraId="5DE0A084" w14:textId="77777777" w:rsidR="0080779B" w:rsidRPr="00E6724F" w:rsidRDefault="0080779B">
      <w:pPr>
        <w:spacing w:before="0" w:after="200" w:line="276" w:lineRule="auto"/>
        <w:jc w:val="left"/>
        <w:rPr>
          <w:rFonts w:ascii="Arial" w:hAnsi="Arial" w:cs="Arial"/>
        </w:rPr>
      </w:pPr>
      <w:r w:rsidRPr="00E6724F">
        <w:rPr>
          <w:rFonts w:ascii="Arial" w:hAnsi="Arial" w:cs="Arial"/>
        </w:rPr>
        <w:br w:type="page"/>
      </w:r>
    </w:p>
    <w:p w14:paraId="7CE87F6C" w14:textId="235DB665" w:rsidR="0001164F" w:rsidRPr="00E6724F" w:rsidRDefault="00B647C1" w:rsidP="0080779B">
      <w:pPr>
        <w:pStyle w:val="Odstavecseseznamem"/>
        <w:numPr>
          <w:ilvl w:val="1"/>
          <w:numId w:val="36"/>
        </w:numPr>
        <w:spacing w:line="360" w:lineRule="auto"/>
        <w:jc w:val="left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E6724F">
        <w:rPr>
          <w:rFonts w:ascii="Arial" w:hAnsi="Arial" w:cs="Arial"/>
          <w:b/>
          <w:color w:val="0000FF"/>
          <w:sz w:val="24"/>
          <w:szCs w:val="24"/>
          <w:u w:val="single"/>
        </w:rPr>
        <w:lastRenderedPageBreak/>
        <w:t>Popis charakteru</w:t>
      </w:r>
      <w:r w:rsidR="0001164F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území</w:t>
      </w:r>
      <w:r w:rsidR="001C5586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="00304F4D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>–</w:t>
      </w:r>
      <w:r w:rsidR="001C5586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 </w:t>
      </w:r>
      <w:r w:rsidR="00304F4D" w:rsidRPr="00E6724F">
        <w:rPr>
          <w:rFonts w:ascii="Arial" w:hAnsi="Arial" w:cs="Arial"/>
          <w:b/>
          <w:color w:val="0000FF"/>
          <w:sz w:val="24"/>
          <w:szCs w:val="24"/>
          <w:u w:val="single"/>
        </w:rPr>
        <w:t>aktualizace 2025</w:t>
      </w:r>
    </w:p>
    <w:p w14:paraId="7E6D5A3A" w14:textId="77777777" w:rsidR="00EC6330" w:rsidRPr="00E6724F" w:rsidRDefault="00EC6330" w:rsidP="00EC6330">
      <w:pPr>
        <w:pStyle w:val="Odstavecseseznamem"/>
        <w:spacing w:before="0" w:line="300" w:lineRule="exact"/>
        <w:ind w:left="0" w:firstLine="360"/>
        <w:jc w:val="left"/>
        <w:rPr>
          <w:rFonts w:ascii="Arial" w:hAnsi="Arial" w:cs="Arial"/>
          <w:b/>
          <w:sz w:val="20"/>
        </w:rPr>
      </w:pPr>
      <w:r w:rsidRPr="00E6724F">
        <w:rPr>
          <w:rFonts w:ascii="Arial" w:hAnsi="Arial" w:cs="Arial"/>
          <w:b/>
          <w:sz w:val="20"/>
        </w:rPr>
        <w:t>Popis charakteru území poskytuje informace doplňující celkový obraz hodnoceného území pro účely komplexního posouzení jeho stávajících a budoucích potřeb z hlediska dopravy v klidu.</w:t>
      </w:r>
    </w:p>
    <w:p w14:paraId="442B56FC" w14:textId="77777777" w:rsidR="00394763" w:rsidRPr="00E6724F" w:rsidRDefault="00394763" w:rsidP="00394763">
      <w:pPr>
        <w:pStyle w:val="Odstavecseseznamem"/>
        <w:spacing w:before="0" w:after="0" w:line="240" w:lineRule="exact"/>
        <w:ind w:left="0" w:firstLine="0"/>
        <w:contextualSpacing w:val="0"/>
        <w:jc w:val="left"/>
        <w:rPr>
          <w:rFonts w:ascii="Arial" w:hAnsi="Arial" w:cs="Arial"/>
          <w:sz w:val="20"/>
        </w:rPr>
      </w:pPr>
    </w:p>
    <w:p w14:paraId="4DB4DB63" w14:textId="77777777" w:rsidR="00EC6330" w:rsidRPr="00E6724F" w:rsidRDefault="00EC6330" w:rsidP="00394763">
      <w:pPr>
        <w:pStyle w:val="Odstavecseseznamem"/>
        <w:spacing w:line="300" w:lineRule="exact"/>
        <w:ind w:left="0" w:firstLine="0"/>
        <w:contextualSpacing w:val="0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Obsahuje:</w:t>
      </w:r>
    </w:p>
    <w:p w14:paraId="2E5136A3" w14:textId="77777777" w:rsidR="0001164F" w:rsidRPr="00E6724F" w:rsidRDefault="0001164F" w:rsidP="00273D07">
      <w:pPr>
        <w:pStyle w:val="Odstavecseseznamem"/>
        <w:numPr>
          <w:ilvl w:val="0"/>
          <w:numId w:val="3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Vymezení hodnoceného území, rozčlenění podle základních sídelních jednotek (ZSJ);</w:t>
      </w:r>
      <w:r w:rsidRPr="00E6724F">
        <w:rPr>
          <w:rFonts w:ascii="Arial" w:hAnsi="Arial" w:cs="Arial"/>
          <w:sz w:val="20"/>
        </w:rPr>
        <w:tab/>
      </w:r>
    </w:p>
    <w:p w14:paraId="7CA9E49A" w14:textId="77777777" w:rsidR="0001164F" w:rsidRPr="00E6724F" w:rsidRDefault="0001164F" w:rsidP="00273D07">
      <w:pPr>
        <w:pStyle w:val="Odstavecseseznamem"/>
        <w:numPr>
          <w:ilvl w:val="0"/>
          <w:numId w:val="3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Charakteristika jednotlivých ZSJ</w:t>
      </w:r>
      <w:r w:rsidR="00B647C1" w:rsidRPr="00E6724F">
        <w:rPr>
          <w:rFonts w:ascii="Arial" w:hAnsi="Arial" w:cs="Arial"/>
          <w:sz w:val="20"/>
        </w:rPr>
        <w:t xml:space="preserve"> :</w:t>
      </w:r>
      <w:r w:rsidRPr="00E6724F">
        <w:rPr>
          <w:rFonts w:ascii="Arial" w:hAnsi="Arial" w:cs="Arial"/>
          <w:sz w:val="20"/>
        </w:rPr>
        <w:t xml:space="preserve"> posouzení převládajícího funkčního využití, významné cíle pro dopravu v klidu, …;</w:t>
      </w:r>
    </w:p>
    <w:p w14:paraId="1CB3DC89" w14:textId="77777777" w:rsidR="00B647C1" w:rsidRPr="00E6724F" w:rsidRDefault="00EC6330" w:rsidP="00273D07">
      <w:pPr>
        <w:pStyle w:val="Odstavecseseznamem"/>
        <w:numPr>
          <w:ilvl w:val="0"/>
          <w:numId w:val="3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Popis základní užitné funkce</w:t>
      </w:r>
      <w:r w:rsidR="0001164F" w:rsidRPr="00E6724F">
        <w:rPr>
          <w:rFonts w:ascii="Arial" w:hAnsi="Arial" w:cs="Arial"/>
          <w:sz w:val="20"/>
        </w:rPr>
        <w:t xml:space="preserve"> objektů s členěním na funkce bydlení, ko</w:t>
      </w:r>
      <w:r w:rsidRPr="00E6724F">
        <w:rPr>
          <w:rFonts w:ascii="Arial" w:hAnsi="Arial" w:cs="Arial"/>
          <w:sz w:val="20"/>
        </w:rPr>
        <w:t>merce (zahrnující administrativu, komerci, školství, kulturu</w:t>
      </w:r>
      <w:r w:rsidR="0001164F" w:rsidRPr="00E6724F">
        <w:rPr>
          <w:rFonts w:ascii="Arial" w:hAnsi="Arial" w:cs="Arial"/>
          <w:sz w:val="20"/>
        </w:rPr>
        <w:t>, sport, zdravotnictví, hotely, …), smíšené objekty,</w:t>
      </w:r>
      <w:r w:rsidR="00B647C1" w:rsidRPr="00E6724F">
        <w:rPr>
          <w:rFonts w:ascii="Arial" w:hAnsi="Arial" w:cs="Arial"/>
          <w:sz w:val="20"/>
        </w:rPr>
        <w:t>…;</w:t>
      </w:r>
    </w:p>
    <w:p w14:paraId="3B203F86" w14:textId="77777777" w:rsidR="00B647C1" w:rsidRPr="00E6724F" w:rsidRDefault="00B647C1" w:rsidP="00273D07">
      <w:pPr>
        <w:pStyle w:val="Odstavecseseznamem"/>
        <w:numPr>
          <w:ilvl w:val="0"/>
          <w:numId w:val="3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D</w:t>
      </w:r>
      <w:r w:rsidR="0001164F" w:rsidRPr="00E6724F">
        <w:rPr>
          <w:rFonts w:ascii="Arial" w:hAnsi="Arial" w:cs="Arial"/>
          <w:sz w:val="20"/>
        </w:rPr>
        <w:t>emograf</w:t>
      </w:r>
      <w:r w:rsidRPr="00E6724F">
        <w:rPr>
          <w:rFonts w:ascii="Arial" w:hAnsi="Arial" w:cs="Arial"/>
          <w:sz w:val="20"/>
        </w:rPr>
        <w:t>ické údaje (</w:t>
      </w:r>
      <w:r w:rsidR="00273D07" w:rsidRPr="00E6724F">
        <w:rPr>
          <w:rFonts w:ascii="Arial" w:hAnsi="Arial" w:cs="Arial"/>
          <w:sz w:val="20"/>
        </w:rPr>
        <w:t>stávající údaje, časový vývoj)</w:t>
      </w:r>
      <w:r w:rsidR="00EC6330" w:rsidRPr="00E6724F">
        <w:rPr>
          <w:rFonts w:ascii="Arial" w:hAnsi="Arial" w:cs="Arial"/>
          <w:sz w:val="20"/>
        </w:rPr>
        <w:t>:</w:t>
      </w:r>
    </w:p>
    <w:p w14:paraId="5F31C3A8" w14:textId="77777777" w:rsidR="00273D07" w:rsidRPr="00E6724F" w:rsidRDefault="00273D07" w:rsidP="00273D07">
      <w:pPr>
        <w:pStyle w:val="Odstavecseseznamem"/>
        <w:numPr>
          <w:ilvl w:val="0"/>
          <w:numId w:val="21"/>
        </w:numPr>
        <w:ind w:left="567" w:hanging="141"/>
        <w:rPr>
          <w:rFonts w:ascii="Arial" w:hAnsi="Arial" w:cs="Arial"/>
          <w:sz w:val="20"/>
        </w:rPr>
      </w:pPr>
      <w:proofErr w:type="spellStart"/>
      <w:r w:rsidRPr="00E6724F">
        <w:rPr>
          <w:rFonts w:ascii="Arial" w:hAnsi="Arial" w:cs="Arial"/>
          <w:sz w:val="20"/>
        </w:rPr>
        <w:t>Obložnost</w:t>
      </w:r>
      <w:proofErr w:type="spellEnd"/>
      <w:r w:rsidRPr="00E6724F">
        <w:rPr>
          <w:rFonts w:ascii="Arial" w:hAnsi="Arial" w:cs="Arial"/>
          <w:sz w:val="20"/>
        </w:rPr>
        <w:t xml:space="preserve"> = počet obyvatel / bytová jednotka</w:t>
      </w:r>
    </w:p>
    <w:p w14:paraId="132BE4EB" w14:textId="77777777" w:rsidR="00273D07" w:rsidRPr="00E6724F" w:rsidRDefault="00273D07" w:rsidP="00273D07">
      <w:pPr>
        <w:pStyle w:val="Odstavecseseznamem"/>
        <w:numPr>
          <w:ilvl w:val="0"/>
          <w:numId w:val="21"/>
        </w:numPr>
        <w:ind w:left="567" w:hanging="141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Hustota osídlení = počet obyvatel / ha</w:t>
      </w:r>
    </w:p>
    <w:p w14:paraId="15F9B988" w14:textId="77777777" w:rsidR="00273D07" w:rsidRPr="00E6724F" w:rsidRDefault="00273D07" w:rsidP="00273D07">
      <w:pPr>
        <w:pStyle w:val="Odstavecseseznamem"/>
        <w:numPr>
          <w:ilvl w:val="0"/>
          <w:numId w:val="21"/>
        </w:numPr>
        <w:ind w:left="567" w:hanging="141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Počty obyvatelstva</w:t>
      </w:r>
    </w:p>
    <w:p w14:paraId="284F45B0" w14:textId="77777777" w:rsidR="00273D07" w:rsidRPr="00E6724F" w:rsidRDefault="00273D07" w:rsidP="00273D07">
      <w:pPr>
        <w:pStyle w:val="Odstavecseseznamem"/>
        <w:numPr>
          <w:ilvl w:val="0"/>
          <w:numId w:val="21"/>
        </w:numPr>
        <w:ind w:left="567" w:hanging="141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Počty bytů (obydlené / neobydlené)</w:t>
      </w:r>
    </w:p>
    <w:p w14:paraId="04313C05" w14:textId="77777777" w:rsidR="00273D07" w:rsidRPr="00E6724F" w:rsidRDefault="00273D07" w:rsidP="00273D07">
      <w:pPr>
        <w:pStyle w:val="Odstavecseseznamem"/>
        <w:numPr>
          <w:ilvl w:val="0"/>
          <w:numId w:val="21"/>
        </w:numPr>
        <w:ind w:left="567" w:hanging="141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Věková struktura obyvatelstva</w:t>
      </w:r>
    </w:p>
    <w:p w14:paraId="6FD83F70" w14:textId="77777777" w:rsidR="00273D07" w:rsidRPr="00E6724F" w:rsidRDefault="00273D07" w:rsidP="00273D07">
      <w:pPr>
        <w:pStyle w:val="Odstavecseseznamem"/>
        <w:numPr>
          <w:ilvl w:val="0"/>
          <w:numId w:val="21"/>
        </w:numPr>
        <w:ind w:left="567" w:hanging="141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Počet osobních vozidel</w:t>
      </w:r>
    </w:p>
    <w:p w14:paraId="5606B1A9" w14:textId="77777777" w:rsidR="0001164F" w:rsidRPr="00E6724F" w:rsidRDefault="00B647C1" w:rsidP="00273D07">
      <w:pPr>
        <w:pStyle w:val="Odstavecseseznamem"/>
        <w:numPr>
          <w:ilvl w:val="0"/>
          <w:numId w:val="3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Š</w:t>
      </w:r>
      <w:r w:rsidR="0001164F" w:rsidRPr="00E6724F">
        <w:rPr>
          <w:rFonts w:ascii="Arial" w:hAnsi="Arial" w:cs="Arial"/>
          <w:sz w:val="20"/>
        </w:rPr>
        <w:t>irší dopravní vztahy (MHD, nadřazená komunikační síť, …);</w:t>
      </w:r>
    </w:p>
    <w:p w14:paraId="59DA718A" w14:textId="77777777" w:rsidR="00394763" w:rsidRPr="00E6724F" w:rsidRDefault="00394763" w:rsidP="00394763">
      <w:pPr>
        <w:spacing w:before="0"/>
        <w:ind w:firstLine="360"/>
        <w:jc w:val="left"/>
        <w:rPr>
          <w:rFonts w:ascii="Arial" w:hAnsi="Arial" w:cs="Arial"/>
        </w:rPr>
      </w:pPr>
      <w:r w:rsidRPr="00E6724F">
        <w:rPr>
          <w:rFonts w:ascii="Arial" w:hAnsi="Arial" w:cs="Arial"/>
        </w:rPr>
        <w:t>Výsledky jsou zpracovány do tabulek a map území.</w:t>
      </w:r>
    </w:p>
    <w:p w14:paraId="2C42B079" w14:textId="77777777" w:rsidR="002400A7" w:rsidRPr="00E6724F" w:rsidRDefault="002400A7" w:rsidP="002400A7">
      <w:pPr>
        <w:pStyle w:val="Odstavecseseznamem"/>
        <w:spacing w:before="0" w:line="300" w:lineRule="exact"/>
        <w:ind w:left="360" w:firstLine="0"/>
        <w:jc w:val="left"/>
        <w:rPr>
          <w:rFonts w:ascii="Arial" w:hAnsi="Arial" w:cs="Arial"/>
          <w:sz w:val="20"/>
        </w:rPr>
      </w:pPr>
    </w:p>
    <w:p w14:paraId="1578D6AB" w14:textId="728C79E0" w:rsidR="0001164F" w:rsidRPr="00E6724F" w:rsidRDefault="00B647C1" w:rsidP="0080779B">
      <w:pPr>
        <w:pStyle w:val="Nadpis2"/>
        <w:numPr>
          <w:ilvl w:val="1"/>
          <w:numId w:val="36"/>
        </w:numPr>
        <w:rPr>
          <w:rFonts w:ascii="Arial" w:hAnsi="Arial" w:cs="Arial"/>
          <w:szCs w:val="22"/>
          <w:u w:val="single"/>
        </w:rPr>
      </w:pPr>
      <w:r w:rsidRPr="00E6724F">
        <w:rPr>
          <w:rFonts w:ascii="Arial" w:hAnsi="Arial" w:cs="Arial"/>
          <w:szCs w:val="22"/>
          <w:u w:val="single"/>
        </w:rPr>
        <w:t>Dopravní průzkumy</w:t>
      </w:r>
      <w:r w:rsidR="00A31055" w:rsidRPr="00E6724F">
        <w:rPr>
          <w:rFonts w:ascii="Arial" w:hAnsi="Arial" w:cs="Arial"/>
          <w:szCs w:val="22"/>
          <w:u w:val="single"/>
        </w:rPr>
        <w:t xml:space="preserve"> dopravy v</w:t>
      </w:r>
      <w:r w:rsidR="001C5586" w:rsidRPr="00E6724F">
        <w:rPr>
          <w:rFonts w:ascii="Arial" w:hAnsi="Arial" w:cs="Arial"/>
          <w:szCs w:val="22"/>
          <w:u w:val="single"/>
        </w:rPr>
        <w:t> </w:t>
      </w:r>
      <w:r w:rsidR="00A31055" w:rsidRPr="00E6724F">
        <w:rPr>
          <w:rFonts w:ascii="Arial" w:hAnsi="Arial" w:cs="Arial"/>
          <w:szCs w:val="22"/>
          <w:u w:val="single"/>
        </w:rPr>
        <w:t>klidu</w:t>
      </w:r>
      <w:r w:rsidR="001C5586" w:rsidRPr="00E6724F">
        <w:rPr>
          <w:rFonts w:ascii="Arial" w:hAnsi="Arial" w:cs="Arial"/>
          <w:szCs w:val="22"/>
          <w:u w:val="single"/>
        </w:rPr>
        <w:t xml:space="preserve"> </w:t>
      </w:r>
      <w:r w:rsidR="00304F4D" w:rsidRPr="00E6724F">
        <w:rPr>
          <w:rFonts w:ascii="Arial" w:hAnsi="Arial" w:cs="Arial"/>
          <w:szCs w:val="22"/>
          <w:u w:val="single"/>
        </w:rPr>
        <w:t>–</w:t>
      </w:r>
      <w:r w:rsidR="001C5586" w:rsidRPr="00E6724F">
        <w:rPr>
          <w:rFonts w:ascii="Arial" w:hAnsi="Arial" w:cs="Arial"/>
          <w:szCs w:val="22"/>
          <w:u w:val="single"/>
        </w:rPr>
        <w:t xml:space="preserve"> </w:t>
      </w:r>
      <w:r w:rsidR="00304F4D" w:rsidRPr="00E6724F">
        <w:rPr>
          <w:rFonts w:ascii="Arial" w:hAnsi="Arial" w:cs="Arial"/>
          <w:szCs w:val="22"/>
          <w:u w:val="single"/>
        </w:rPr>
        <w:t>aktualizace 2025</w:t>
      </w:r>
    </w:p>
    <w:p w14:paraId="57D02740" w14:textId="77777777" w:rsidR="001F7D6A" w:rsidRPr="00E6724F" w:rsidRDefault="001F7D6A" w:rsidP="001F7D6A">
      <w:pPr>
        <w:pStyle w:val="Odstavecseseznamem"/>
        <w:spacing w:before="0" w:line="300" w:lineRule="exact"/>
        <w:ind w:left="0" w:firstLine="360"/>
        <w:jc w:val="left"/>
        <w:rPr>
          <w:rFonts w:ascii="Arial" w:hAnsi="Arial" w:cs="Arial"/>
          <w:b/>
          <w:sz w:val="20"/>
        </w:rPr>
      </w:pPr>
      <w:r w:rsidRPr="00E6724F">
        <w:rPr>
          <w:rFonts w:ascii="Arial" w:hAnsi="Arial" w:cs="Arial"/>
          <w:b/>
          <w:sz w:val="20"/>
        </w:rPr>
        <w:t xml:space="preserve">Základním zdrojem informací </w:t>
      </w:r>
      <w:r w:rsidR="00EC6330" w:rsidRPr="00E6724F">
        <w:rPr>
          <w:rFonts w:ascii="Arial" w:hAnsi="Arial" w:cs="Arial"/>
          <w:b/>
          <w:sz w:val="20"/>
        </w:rPr>
        <w:t xml:space="preserve">o parkování </w:t>
      </w:r>
      <w:r w:rsidRPr="00E6724F">
        <w:rPr>
          <w:rFonts w:ascii="Arial" w:hAnsi="Arial" w:cs="Arial"/>
          <w:b/>
          <w:sz w:val="20"/>
        </w:rPr>
        <w:t>jsou dopravní průzkumy provedené zpracovatelem na místních komunikacích hodnoceného území.</w:t>
      </w:r>
    </w:p>
    <w:p w14:paraId="677EA6E0" w14:textId="77777777" w:rsidR="006117FC" w:rsidRPr="00E6724F" w:rsidRDefault="006117FC" w:rsidP="001F7D6A">
      <w:pPr>
        <w:pStyle w:val="Odstavecseseznamem"/>
        <w:spacing w:before="0" w:line="300" w:lineRule="exact"/>
        <w:ind w:left="0" w:firstLine="360"/>
        <w:jc w:val="left"/>
        <w:rPr>
          <w:rFonts w:ascii="Arial" w:hAnsi="Arial" w:cs="Arial"/>
          <w:b/>
          <w:sz w:val="20"/>
        </w:rPr>
      </w:pPr>
    </w:p>
    <w:p w14:paraId="00D4DD69" w14:textId="77777777" w:rsidR="00EC6330" w:rsidRPr="00E6724F" w:rsidRDefault="00EC6330" w:rsidP="00EC6330">
      <w:pPr>
        <w:pStyle w:val="Odstavecseseznamem"/>
        <w:spacing w:before="0" w:line="300" w:lineRule="exact"/>
        <w:ind w:left="0" w:firstLine="0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 xml:space="preserve">Provádějí se dva základní průzkumy: </w:t>
      </w:r>
    </w:p>
    <w:p w14:paraId="013EA631" w14:textId="77777777" w:rsidR="00EC6330" w:rsidRPr="00E6724F" w:rsidRDefault="00EC6330" w:rsidP="001F7D6A">
      <w:pPr>
        <w:pStyle w:val="Odstavecseseznamem"/>
        <w:spacing w:before="0" w:line="300" w:lineRule="exact"/>
        <w:ind w:left="0" w:firstLine="360"/>
        <w:jc w:val="left"/>
        <w:rPr>
          <w:rFonts w:ascii="Arial" w:hAnsi="Arial" w:cs="Arial"/>
          <w:b/>
          <w:sz w:val="20"/>
        </w:rPr>
      </w:pPr>
    </w:p>
    <w:p w14:paraId="5B7A5D3F" w14:textId="77777777" w:rsidR="00196BDB" w:rsidRPr="00E6724F" w:rsidRDefault="00A31055" w:rsidP="00196BDB">
      <w:pPr>
        <w:pStyle w:val="Odstavecseseznamem"/>
        <w:numPr>
          <w:ilvl w:val="0"/>
          <w:numId w:val="4"/>
        </w:numPr>
        <w:spacing w:before="0" w:line="300" w:lineRule="exact"/>
        <w:contextualSpacing w:val="0"/>
        <w:rPr>
          <w:rFonts w:ascii="Arial" w:hAnsi="Arial" w:cs="Arial"/>
          <w:sz w:val="20"/>
        </w:rPr>
      </w:pPr>
      <w:r w:rsidRPr="00E6724F">
        <w:rPr>
          <w:rFonts w:ascii="Arial" w:hAnsi="Arial" w:cs="Arial"/>
          <w:b/>
          <w:sz w:val="20"/>
        </w:rPr>
        <w:t>Celoplošné statické sčítání vozidel</w:t>
      </w:r>
      <w:r w:rsidRPr="00E6724F">
        <w:rPr>
          <w:rFonts w:ascii="Arial" w:hAnsi="Arial" w:cs="Arial"/>
          <w:sz w:val="20"/>
        </w:rPr>
        <w:t xml:space="preserve"> </w:t>
      </w:r>
      <w:r w:rsidR="00196BDB" w:rsidRPr="00E6724F">
        <w:rPr>
          <w:rFonts w:ascii="Arial" w:hAnsi="Arial" w:cs="Arial"/>
          <w:sz w:val="20"/>
        </w:rPr>
        <w:t>parkujících na místních komunikacích ve sledovaném území :</w:t>
      </w:r>
    </w:p>
    <w:p w14:paraId="00582F1D" w14:textId="77777777" w:rsidR="00EC6330" w:rsidRPr="00E6724F" w:rsidRDefault="00EC6330" w:rsidP="00196BDB">
      <w:pPr>
        <w:pStyle w:val="Odstavecseseznamem"/>
        <w:numPr>
          <w:ilvl w:val="0"/>
          <w:numId w:val="21"/>
        </w:numPr>
        <w:spacing w:before="0" w:line="300" w:lineRule="exact"/>
        <w:ind w:left="709" w:hanging="283"/>
        <w:contextualSpacing w:val="0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V</w:t>
      </w:r>
      <w:r w:rsidR="001F7D6A" w:rsidRPr="00E6724F">
        <w:rPr>
          <w:rFonts w:ascii="Arial" w:hAnsi="Arial" w:cs="Arial"/>
          <w:sz w:val="20"/>
        </w:rPr>
        <w:t xml:space="preserve"> členění </w:t>
      </w:r>
      <w:r w:rsidR="00A31055" w:rsidRPr="00E6724F">
        <w:rPr>
          <w:rFonts w:ascii="Arial" w:hAnsi="Arial" w:cs="Arial"/>
          <w:sz w:val="20"/>
        </w:rPr>
        <w:t>2 x dopoledne</w:t>
      </w:r>
      <w:r w:rsidR="001714F3" w:rsidRPr="00E6724F">
        <w:rPr>
          <w:rFonts w:ascii="Arial" w:hAnsi="Arial" w:cs="Arial"/>
          <w:sz w:val="20"/>
        </w:rPr>
        <w:t xml:space="preserve"> (9-11 hod)</w:t>
      </w:r>
      <w:r w:rsidR="00A31055" w:rsidRPr="00E6724F">
        <w:rPr>
          <w:rFonts w:ascii="Arial" w:hAnsi="Arial" w:cs="Arial"/>
          <w:sz w:val="20"/>
        </w:rPr>
        <w:t xml:space="preserve">, 2 x </w:t>
      </w:r>
      <w:r w:rsidR="001F7D6A" w:rsidRPr="00E6724F">
        <w:rPr>
          <w:rFonts w:ascii="Arial" w:hAnsi="Arial" w:cs="Arial"/>
          <w:sz w:val="20"/>
        </w:rPr>
        <w:t>poledne</w:t>
      </w:r>
      <w:r w:rsidR="001714F3" w:rsidRPr="00E6724F">
        <w:rPr>
          <w:rFonts w:ascii="Arial" w:hAnsi="Arial" w:cs="Arial"/>
          <w:sz w:val="20"/>
        </w:rPr>
        <w:t xml:space="preserve"> (11:30 až 13:30 hod)</w:t>
      </w:r>
      <w:r w:rsidR="001F7D6A" w:rsidRPr="00E6724F">
        <w:rPr>
          <w:rFonts w:ascii="Arial" w:hAnsi="Arial" w:cs="Arial"/>
          <w:sz w:val="20"/>
        </w:rPr>
        <w:t>, 2 x odpoledne</w:t>
      </w:r>
      <w:r w:rsidR="001714F3" w:rsidRPr="00E6724F">
        <w:rPr>
          <w:rFonts w:ascii="Arial" w:hAnsi="Arial" w:cs="Arial"/>
          <w:sz w:val="20"/>
        </w:rPr>
        <w:t xml:space="preserve"> (14 až 16 hod)</w:t>
      </w:r>
      <w:r w:rsidR="001F7D6A" w:rsidRPr="00E6724F">
        <w:rPr>
          <w:rFonts w:ascii="Arial" w:hAnsi="Arial" w:cs="Arial"/>
          <w:sz w:val="20"/>
        </w:rPr>
        <w:t>, 2 x noc</w:t>
      </w:r>
      <w:r w:rsidR="001714F3" w:rsidRPr="00E6724F">
        <w:rPr>
          <w:rFonts w:ascii="Arial" w:hAnsi="Arial" w:cs="Arial"/>
          <w:sz w:val="20"/>
        </w:rPr>
        <w:t xml:space="preserve"> (24 až 3 hod)</w:t>
      </w:r>
      <w:r w:rsidRPr="00E6724F">
        <w:rPr>
          <w:rFonts w:ascii="Arial" w:hAnsi="Arial" w:cs="Arial"/>
          <w:sz w:val="20"/>
        </w:rPr>
        <w:t>;</w:t>
      </w:r>
    </w:p>
    <w:p w14:paraId="52142202" w14:textId="77777777" w:rsidR="00EC6330" w:rsidRPr="00E6724F" w:rsidRDefault="00A31055" w:rsidP="00196BDB">
      <w:pPr>
        <w:pStyle w:val="Odstavecseseznamem"/>
        <w:numPr>
          <w:ilvl w:val="0"/>
          <w:numId w:val="21"/>
        </w:numPr>
        <w:spacing w:before="0" w:line="300" w:lineRule="exact"/>
        <w:ind w:left="709" w:hanging="283"/>
        <w:contextualSpacing w:val="0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 xml:space="preserve">Sčítání je provedeno </w:t>
      </w:r>
      <w:r w:rsidR="001F7D6A" w:rsidRPr="00E6724F">
        <w:rPr>
          <w:rFonts w:ascii="Arial" w:hAnsi="Arial" w:cs="Arial"/>
          <w:sz w:val="20"/>
        </w:rPr>
        <w:t xml:space="preserve">na celém území </w:t>
      </w:r>
      <w:r w:rsidRPr="00E6724F">
        <w:rPr>
          <w:rFonts w:ascii="Arial" w:hAnsi="Arial" w:cs="Arial"/>
          <w:sz w:val="20"/>
        </w:rPr>
        <w:t xml:space="preserve">vždy dva po sobě jdoucí </w:t>
      </w:r>
      <w:r w:rsidR="001714F3" w:rsidRPr="00E6724F">
        <w:rPr>
          <w:rFonts w:ascii="Arial" w:hAnsi="Arial" w:cs="Arial"/>
          <w:sz w:val="20"/>
        </w:rPr>
        <w:t xml:space="preserve">typické </w:t>
      </w:r>
      <w:r w:rsidRPr="00E6724F">
        <w:rPr>
          <w:rFonts w:ascii="Arial" w:hAnsi="Arial" w:cs="Arial"/>
          <w:sz w:val="20"/>
        </w:rPr>
        <w:t>pracovní dny</w:t>
      </w:r>
      <w:r w:rsidR="006117FC" w:rsidRPr="00E6724F">
        <w:rPr>
          <w:rFonts w:ascii="Arial" w:hAnsi="Arial" w:cs="Arial"/>
          <w:sz w:val="20"/>
        </w:rPr>
        <w:t xml:space="preserve"> (tj. v průběhu 48 hodin)</w:t>
      </w:r>
      <w:r w:rsidRPr="00E6724F">
        <w:rPr>
          <w:rFonts w:ascii="Arial" w:hAnsi="Arial" w:cs="Arial"/>
          <w:sz w:val="20"/>
        </w:rPr>
        <w:t xml:space="preserve">, </w:t>
      </w:r>
      <w:r w:rsidR="001714F3" w:rsidRPr="00E6724F">
        <w:rPr>
          <w:rFonts w:ascii="Arial" w:hAnsi="Arial" w:cs="Arial"/>
          <w:sz w:val="20"/>
        </w:rPr>
        <w:t xml:space="preserve">tj. </w:t>
      </w:r>
      <w:r w:rsidRPr="00E6724F">
        <w:rPr>
          <w:rFonts w:ascii="Arial" w:hAnsi="Arial" w:cs="Arial"/>
          <w:sz w:val="20"/>
        </w:rPr>
        <w:t>mimo pátky a mimo období státních svátků</w:t>
      </w:r>
      <w:r w:rsidR="001714F3" w:rsidRPr="00E6724F">
        <w:rPr>
          <w:rFonts w:ascii="Arial" w:hAnsi="Arial" w:cs="Arial"/>
          <w:sz w:val="20"/>
        </w:rPr>
        <w:t xml:space="preserve">, </w:t>
      </w:r>
      <w:r w:rsidR="001F7D6A" w:rsidRPr="00E6724F">
        <w:rPr>
          <w:rFonts w:ascii="Arial" w:hAnsi="Arial" w:cs="Arial"/>
          <w:sz w:val="20"/>
        </w:rPr>
        <w:t>prázdnin</w:t>
      </w:r>
      <w:r w:rsidR="001714F3" w:rsidRPr="00E6724F">
        <w:rPr>
          <w:rFonts w:ascii="Arial" w:hAnsi="Arial" w:cs="Arial"/>
          <w:sz w:val="20"/>
        </w:rPr>
        <w:t xml:space="preserve"> a zimní sez</w:t>
      </w:r>
      <w:r w:rsidR="00EC6330" w:rsidRPr="00E6724F">
        <w:rPr>
          <w:rFonts w:ascii="Arial" w:hAnsi="Arial" w:cs="Arial"/>
          <w:sz w:val="20"/>
        </w:rPr>
        <w:t>ónu prosinec-březen;</w:t>
      </w:r>
    </w:p>
    <w:p w14:paraId="69698297" w14:textId="77777777" w:rsidR="00196BDB" w:rsidRPr="00E6724F" w:rsidRDefault="001714F3" w:rsidP="00196BDB">
      <w:pPr>
        <w:pStyle w:val="Odstavecseseznamem"/>
        <w:numPr>
          <w:ilvl w:val="0"/>
          <w:numId w:val="21"/>
        </w:numPr>
        <w:spacing w:before="0" w:line="300" w:lineRule="exact"/>
        <w:ind w:left="709" w:hanging="283"/>
        <w:contextualSpacing w:val="0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Výstupy jsou členěny do 3 základních územních kategorií, úsek místní komunikace, základní sídelní jednotka a celé hodnocené území.</w:t>
      </w:r>
      <w:r w:rsidR="00A60B02" w:rsidRPr="00E6724F">
        <w:rPr>
          <w:rFonts w:ascii="Arial" w:hAnsi="Arial" w:cs="Arial"/>
          <w:sz w:val="20"/>
        </w:rPr>
        <w:t xml:space="preserve"> </w:t>
      </w:r>
    </w:p>
    <w:p w14:paraId="0FC3B73F" w14:textId="77777777" w:rsidR="00196BDB" w:rsidRPr="00E6724F" w:rsidRDefault="00196BDB" w:rsidP="00196BDB">
      <w:pPr>
        <w:spacing w:before="0"/>
        <w:ind w:left="426"/>
        <w:rPr>
          <w:rFonts w:ascii="Arial" w:hAnsi="Arial" w:cs="Arial"/>
        </w:rPr>
      </w:pPr>
      <w:r w:rsidRPr="00E6724F">
        <w:rPr>
          <w:rFonts w:ascii="Arial" w:hAnsi="Arial" w:cs="Arial"/>
        </w:rPr>
        <w:t>Výsledkem je zjištění průměrné obsazenosti, která  se počítá jako podíl vozidel parkujících v území ku kapacitě parkovacích míst v území.</w:t>
      </w:r>
    </w:p>
    <w:p w14:paraId="62599DF0" w14:textId="77777777" w:rsidR="006117FC" w:rsidRPr="00E6724F" w:rsidRDefault="00A60B02" w:rsidP="00196BDB">
      <w:pPr>
        <w:spacing w:before="0"/>
        <w:ind w:left="426"/>
        <w:rPr>
          <w:rFonts w:ascii="Arial" w:hAnsi="Arial" w:cs="Arial"/>
        </w:rPr>
      </w:pPr>
      <w:r w:rsidRPr="00E6724F">
        <w:rPr>
          <w:rFonts w:ascii="Arial" w:hAnsi="Arial" w:cs="Arial"/>
        </w:rPr>
        <w:t>Výsledky jsou zpracovány do tabulek a map území.</w:t>
      </w:r>
    </w:p>
    <w:p w14:paraId="6A12BDE8" w14:textId="77777777" w:rsidR="001F7D6A" w:rsidRPr="00E6724F" w:rsidRDefault="001F7D6A" w:rsidP="00B622F5">
      <w:pPr>
        <w:spacing w:before="0"/>
        <w:rPr>
          <w:rFonts w:ascii="Arial" w:hAnsi="Arial" w:cs="Arial"/>
        </w:rPr>
      </w:pPr>
      <w:r w:rsidRPr="00E6724F">
        <w:rPr>
          <w:rFonts w:ascii="Arial" w:hAnsi="Arial" w:cs="Arial"/>
        </w:rPr>
        <w:t xml:space="preserve">Takto strukturované dopravní průzkumy umožňují identifikovat jednotlivé uživatelské skupiny, zjistit jejich dopravní chování a výsledky celoplošně aplikovat. Dostatečný stupeň přesnosti a věrohodnosti získaných </w:t>
      </w:r>
      <w:r w:rsidRPr="00E6724F">
        <w:rPr>
          <w:rFonts w:ascii="Arial" w:hAnsi="Arial" w:cs="Arial"/>
        </w:rPr>
        <w:lastRenderedPageBreak/>
        <w:t>informací a údajů je garantován opakováním a vzájemnou provázaností provedených dopravních průzkumů a šetření.</w:t>
      </w:r>
    </w:p>
    <w:p w14:paraId="6C0C5E6C" w14:textId="77777777" w:rsidR="00A31055" w:rsidRPr="00E6724F" w:rsidRDefault="00A31055" w:rsidP="00A31055">
      <w:pPr>
        <w:pStyle w:val="Odstavecseseznamem"/>
        <w:spacing w:before="0" w:line="300" w:lineRule="exact"/>
        <w:ind w:left="360" w:firstLine="0"/>
        <w:jc w:val="left"/>
        <w:rPr>
          <w:rFonts w:ascii="Arial" w:hAnsi="Arial" w:cs="Arial"/>
          <w:sz w:val="20"/>
        </w:rPr>
      </w:pPr>
    </w:p>
    <w:p w14:paraId="318F39B7" w14:textId="77777777" w:rsidR="00A31055" w:rsidRPr="00E6724F" w:rsidRDefault="001F7D6A" w:rsidP="0080779B">
      <w:pPr>
        <w:pStyle w:val="Nadpis2"/>
        <w:numPr>
          <w:ilvl w:val="1"/>
          <w:numId w:val="36"/>
        </w:numPr>
        <w:rPr>
          <w:rFonts w:ascii="Arial" w:hAnsi="Arial" w:cs="Arial"/>
          <w:szCs w:val="22"/>
          <w:u w:val="single"/>
        </w:rPr>
      </w:pPr>
      <w:r w:rsidRPr="00E6724F">
        <w:rPr>
          <w:rFonts w:ascii="Arial" w:hAnsi="Arial" w:cs="Arial"/>
          <w:szCs w:val="22"/>
          <w:u w:val="single"/>
        </w:rPr>
        <w:t xml:space="preserve">Analýza dopravy v klidu </w:t>
      </w:r>
      <w:r w:rsidR="001C5586" w:rsidRPr="00E6724F">
        <w:rPr>
          <w:rFonts w:ascii="Arial" w:hAnsi="Arial" w:cs="Arial"/>
          <w:szCs w:val="22"/>
          <w:u w:val="single"/>
        </w:rPr>
        <w:t>– požadovaný obsah</w:t>
      </w:r>
    </w:p>
    <w:p w14:paraId="5EA5EB49" w14:textId="77777777" w:rsidR="007C530F" w:rsidRPr="00E6724F" w:rsidRDefault="007C530F" w:rsidP="00F57683">
      <w:pPr>
        <w:spacing w:before="0"/>
        <w:ind w:firstLine="576"/>
        <w:jc w:val="left"/>
        <w:rPr>
          <w:rFonts w:ascii="Arial" w:hAnsi="Arial" w:cs="Arial"/>
          <w:b/>
        </w:rPr>
      </w:pPr>
      <w:r w:rsidRPr="00E6724F">
        <w:rPr>
          <w:rFonts w:ascii="Arial" w:hAnsi="Arial" w:cs="Arial"/>
          <w:b/>
        </w:rPr>
        <w:t>N</w:t>
      </w:r>
      <w:r w:rsidR="0001164F" w:rsidRPr="00E6724F">
        <w:rPr>
          <w:rFonts w:ascii="Arial" w:hAnsi="Arial" w:cs="Arial"/>
          <w:b/>
        </w:rPr>
        <w:t>a základě proveden</w:t>
      </w:r>
      <w:r w:rsidR="00A31055" w:rsidRPr="00E6724F">
        <w:rPr>
          <w:rFonts w:ascii="Arial" w:hAnsi="Arial" w:cs="Arial"/>
          <w:b/>
        </w:rPr>
        <w:t>é pasportizace parkovacích kapacit</w:t>
      </w:r>
      <w:r w:rsidRPr="00E6724F">
        <w:rPr>
          <w:rFonts w:ascii="Arial" w:hAnsi="Arial" w:cs="Arial"/>
          <w:b/>
        </w:rPr>
        <w:t>, charakteristiky území</w:t>
      </w:r>
      <w:r w:rsidR="00A31055" w:rsidRPr="00E6724F">
        <w:rPr>
          <w:rFonts w:ascii="Arial" w:hAnsi="Arial" w:cs="Arial"/>
          <w:b/>
        </w:rPr>
        <w:t xml:space="preserve"> a</w:t>
      </w:r>
      <w:r w:rsidR="0001164F" w:rsidRPr="00E6724F">
        <w:rPr>
          <w:rFonts w:ascii="Arial" w:hAnsi="Arial" w:cs="Arial"/>
          <w:b/>
        </w:rPr>
        <w:t xml:space="preserve"> dopravníc</w:t>
      </w:r>
      <w:r w:rsidRPr="00E6724F">
        <w:rPr>
          <w:rFonts w:ascii="Arial" w:hAnsi="Arial" w:cs="Arial"/>
          <w:b/>
        </w:rPr>
        <w:t xml:space="preserve">h průzkumů je zpracována analýza dopravy v klidu. </w:t>
      </w:r>
    </w:p>
    <w:p w14:paraId="1E402624" w14:textId="77777777" w:rsidR="0001164F" w:rsidRPr="00E6724F" w:rsidRDefault="007C530F" w:rsidP="00A31055">
      <w:pPr>
        <w:spacing w:before="0"/>
        <w:jc w:val="left"/>
        <w:rPr>
          <w:rFonts w:ascii="Arial" w:hAnsi="Arial" w:cs="Arial"/>
        </w:rPr>
      </w:pPr>
      <w:r w:rsidRPr="00E6724F">
        <w:rPr>
          <w:rFonts w:ascii="Arial" w:hAnsi="Arial" w:cs="Arial"/>
        </w:rPr>
        <w:t>Jejím obsahem je</w:t>
      </w:r>
      <w:r w:rsidR="0001164F" w:rsidRPr="00E6724F">
        <w:rPr>
          <w:rFonts w:ascii="Arial" w:hAnsi="Arial" w:cs="Arial"/>
        </w:rPr>
        <w:t>:</w:t>
      </w:r>
    </w:p>
    <w:p w14:paraId="1E03E5A8" w14:textId="77777777" w:rsidR="0001164F" w:rsidRPr="00E6724F" w:rsidRDefault="00A31055" w:rsidP="0046219A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U</w:t>
      </w:r>
      <w:r w:rsidR="0001164F" w:rsidRPr="00E6724F">
        <w:rPr>
          <w:rFonts w:ascii="Arial" w:hAnsi="Arial" w:cs="Arial"/>
          <w:sz w:val="20"/>
        </w:rPr>
        <w:t xml:space="preserve">rčení uživatelských kategorií </w:t>
      </w:r>
      <w:r w:rsidR="00126F06" w:rsidRPr="00E6724F">
        <w:rPr>
          <w:rFonts w:ascii="Arial" w:hAnsi="Arial" w:cs="Arial"/>
          <w:sz w:val="20"/>
        </w:rPr>
        <w:t>parkujícíc</w:t>
      </w:r>
      <w:r w:rsidR="007C530F" w:rsidRPr="00E6724F">
        <w:rPr>
          <w:rFonts w:ascii="Arial" w:hAnsi="Arial" w:cs="Arial"/>
          <w:sz w:val="20"/>
        </w:rPr>
        <w:t>h</w:t>
      </w:r>
      <w:r w:rsidR="0001164F" w:rsidRPr="00E6724F">
        <w:rPr>
          <w:rFonts w:ascii="Arial" w:hAnsi="Arial" w:cs="Arial"/>
          <w:sz w:val="20"/>
        </w:rPr>
        <w:t xml:space="preserve"> (rezidenti, abonenti, návštěvníci, zásobování atd.);</w:t>
      </w:r>
    </w:p>
    <w:p w14:paraId="168E28D0" w14:textId="77777777" w:rsidR="00126F06" w:rsidRPr="00E6724F" w:rsidRDefault="00126F06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Zjištění a vyhodnocení podílu jednotlivých uživatelských skupin vyskytujících se na šetřeném území v typickém pracovním dnu a v průběhu 24 hodin;</w:t>
      </w:r>
    </w:p>
    <w:p w14:paraId="66C071AD" w14:textId="77777777" w:rsidR="00126F06" w:rsidRPr="00E6724F" w:rsidRDefault="00126F06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Zjištění a vyhodnocení statických a dynamických hodnot dop</w:t>
      </w:r>
      <w:r w:rsidR="003C1F64" w:rsidRPr="00E6724F">
        <w:rPr>
          <w:rFonts w:ascii="Arial" w:hAnsi="Arial" w:cs="Arial"/>
          <w:sz w:val="20"/>
        </w:rPr>
        <w:t>ravy v klidu (obsazenost, obrátkovost</w:t>
      </w:r>
      <w:r w:rsidRPr="00E6724F">
        <w:rPr>
          <w:rFonts w:ascii="Arial" w:hAnsi="Arial" w:cs="Arial"/>
          <w:sz w:val="20"/>
        </w:rPr>
        <w:t xml:space="preserve">, </w:t>
      </w:r>
      <w:r w:rsidR="003C1F64" w:rsidRPr="00E6724F">
        <w:rPr>
          <w:rFonts w:ascii="Arial" w:hAnsi="Arial" w:cs="Arial"/>
          <w:sz w:val="20"/>
        </w:rPr>
        <w:t xml:space="preserve">příjezdy/odjezdy, </w:t>
      </w:r>
      <w:r w:rsidRPr="00E6724F">
        <w:rPr>
          <w:rFonts w:ascii="Arial" w:hAnsi="Arial" w:cs="Arial"/>
          <w:sz w:val="20"/>
        </w:rPr>
        <w:t>časová struktura parkování atp.);</w:t>
      </w:r>
    </w:p>
    <w:p w14:paraId="7FD5E9F0" w14:textId="77777777" w:rsidR="00126F06" w:rsidRPr="00E6724F" w:rsidRDefault="00126F06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Bilance poptávky a nabídky po parkování pro jednotlivé kategorie parkujících</w:t>
      </w:r>
      <w:r w:rsidR="007C530F" w:rsidRPr="00E6724F">
        <w:rPr>
          <w:rFonts w:ascii="Arial" w:hAnsi="Arial" w:cs="Arial"/>
          <w:sz w:val="20"/>
        </w:rPr>
        <w:t xml:space="preserve"> – stávající stav a výhled</w:t>
      </w:r>
      <w:r w:rsidRPr="00E6724F">
        <w:rPr>
          <w:rFonts w:ascii="Arial" w:hAnsi="Arial" w:cs="Arial"/>
          <w:sz w:val="20"/>
        </w:rPr>
        <w:t>;</w:t>
      </w:r>
    </w:p>
    <w:p w14:paraId="4C7C9233" w14:textId="77777777" w:rsidR="0001164F" w:rsidRPr="00E6724F" w:rsidRDefault="00126F06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Zjištění</w:t>
      </w:r>
      <w:r w:rsidR="0001164F" w:rsidRPr="00E6724F">
        <w:rPr>
          <w:rFonts w:ascii="Arial" w:hAnsi="Arial" w:cs="Arial"/>
          <w:sz w:val="20"/>
        </w:rPr>
        <w:t xml:space="preserve"> potřeb </w:t>
      </w:r>
      <w:r w:rsidRPr="00E6724F">
        <w:rPr>
          <w:rFonts w:ascii="Arial" w:hAnsi="Arial" w:cs="Arial"/>
          <w:sz w:val="20"/>
        </w:rPr>
        <w:t xml:space="preserve">parkování </w:t>
      </w:r>
      <w:r w:rsidR="0001164F" w:rsidRPr="00E6724F">
        <w:rPr>
          <w:rFonts w:ascii="Arial" w:hAnsi="Arial" w:cs="Arial"/>
          <w:sz w:val="20"/>
        </w:rPr>
        <w:t>rezidentů</w:t>
      </w:r>
      <w:r w:rsidR="007C530F" w:rsidRPr="00E6724F">
        <w:rPr>
          <w:rFonts w:ascii="Arial" w:hAnsi="Arial" w:cs="Arial"/>
          <w:sz w:val="20"/>
        </w:rPr>
        <w:t xml:space="preserve"> – stávající stav a výhled</w:t>
      </w:r>
      <w:r w:rsidR="0001164F" w:rsidRPr="00E6724F">
        <w:rPr>
          <w:rFonts w:ascii="Arial" w:hAnsi="Arial" w:cs="Arial"/>
          <w:sz w:val="20"/>
        </w:rPr>
        <w:t>;</w:t>
      </w:r>
    </w:p>
    <w:p w14:paraId="62018BA9" w14:textId="77777777" w:rsidR="00126F06" w:rsidRPr="00E6724F" w:rsidRDefault="00A31055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Z</w:t>
      </w:r>
      <w:r w:rsidR="0001164F" w:rsidRPr="00E6724F">
        <w:rPr>
          <w:rFonts w:ascii="Arial" w:hAnsi="Arial" w:cs="Arial"/>
          <w:sz w:val="20"/>
        </w:rPr>
        <w:t xml:space="preserve">jištění potřeb parkování </w:t>
      </w:r>
      <w:r w:rsidR="00126F06" w:rsidRPr="00E6724F">
        <w:rPr>
          <w:rFonts w:ascii="Arial" w:hAnsi="Arial" w:cs="Arial"/>
          <w:sz w:val="20"/>
        </w:rPr>
        <w:t xml:space="preserve">dalších </w:t>
      </w:r>
      <w:r w:rsidR="0001164F" w:rsidRPr="00E6724F">
        <w:rPr>
          <w:rFonts w:ascii="Arial" w:hAnsi="Arial" w:cs="Arial"/>
          <w:sz w:val="20"/>
        </w:rPr>
        <w:t>uživatelských skupin</w:t>
      </w:r>
      <w:r w:rsidR="007C530F" w:rsidRPr="00E6724F">
        <w:rPr>
          <w:rFonts w:ascii="Arial" w:hAnsi="Arial" w:cs="Arial"/>
          <w:sz w:val="20"/>
        </w:rPr>
        <w:t xml:space="preserve"> – stávající stav a výhled</w:t>
      </w:r>
      <w:r w:rsidR="00126F06" w:rsidRPr="00E6724F">
        <w:rPr>
          <w:rFonts w:ascii="Arial" w:hAnsi="Arial" w:cs="Arial"/>
          <w:sz w:val="20"/>
        </w:rPr>
        <w:t>;</w:t>
      </w:r>
    </w:p>
    <w:p w14:paraId="7057CA21" w14:textId="77777777" w:rsidR="0001164F" w:rsidRPr="00E6724F" w:rsidRDefault="00126F06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Zjištěn</w:t>
      </w:r>
      <w:r w:rsidR="007C530F" w:rsidRPr="00E6724F">
        <w:rPr>
          <w:rFonts w:ascii="Arial" w:hAnsi="Arial" w:cs="Arial"/>
          <w:sz w:val="20"/>
        </w:rPr>
        <w:t>í</w:t>
      </w:r>
      <w:r w:rsidRPr="00E6724F">
        <w:rPr>
          <w:rFonts w:ascii="Arial" w:hAnsi="Arial" w:cs="Arial"/>
          <w:sz w:val="20"/>
        </w:rPr>
        <w:t xml:space="preserve"> potřeb parkování</w:t>
      </w:r>
      <w:r w:rsidR="0001164F" w:rsidRPr="00E6724F">
        <w:rPr>
          <w:rFonts w:ascii="Arial" w:hAnsi="Arial" w:cs="Arial"/>
          <w:sz w:val="20"/>
        </w:rPr>
        <w:t xml:space="preserve"> u dominantních objektů umístěných na šetřeném území</w:t>
      </w:r>
      <w:r w:rsidRPr="00E6724F">
        <w:rPr>
          <w:rFonts w:ascii="Arial" w:hAnsi="Arial" w:cs="Arial"/>
          <w:sz w:val="20"/>
        </w:rPr>
        <w:t xml:space="preserve"> (obchodní centra, administrativní centra, sportovní </w:t>
      </w:r>
      <w:r w:rsidR="007C530F" w:rsidRPr="00E6724F">
        <w:rPr>
          <w:rFonts w:ascii="Arial" w:hAnsi="Arial" w:cs="Arial"/>
          <w:sz w:val="20"/>
        </w:rPr>
        <w:t>– stávající stav a výhled</w:t>
      </w:r>
      <w:r w:rsidR="0001164F" w:rsidRPr="00E6724F">
        <w:rPr>
          <w:rFonts w:ascii="Arial" w:hAnsi="Arial" w:cs="Arial"/>
          <w:sz w:val="20"/>
        </w:rPr>
        <w:t>;</w:t>
      </w:r>
    </w:p>
    <w:p w14:paraId="72F237DD" w14:textId="77777777" w:rsidR="00A31055" w:rsidRPr="00E6724F" w:rsidRDefault="00A31055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Určení kritických faktorů majících vliv na současnou dopravu v klidu na území;</w:t>
      </w:r>
    </w:p>
    <w:p w14:paraId="51561E6F" w14:textId="77777777" w:rsidR="007C530F" w:rsidRPr="00E6724F" w:rsidRDefault="007C530F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Analýza dřívějších studií a dokumentací v oblasti dopravy v klidu;</w:t>
      </w:r>
    </w:p>
    <w:p w14:paraId="6FDA599E" w14:textId="77777777" w:rsidR="00A31055" w:rsidRPr="00E6724F" w:rsidRDefault="00A31055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Vliv stávající organizace dopravy a dopravy v klidu na bilanci parkování;</w:t>
      </w:r>
    </w:p>
    <w:p w14:paraId="26AD05AD" w14:textId="77777777" w:rsidR="00A31055" w:rsidRPr="00E6724F" w:rsidRDefault="00A31055" w:rsidP="003C1F64">
      <w:pPr>
        <w:pStyle w:val="Odstavecseseznamem"/>
        <w:numPr>
          <w:ilvl w:val="1"/>
          <w:numId w:val="20"/>
        </w:numPr>
        <w:spacing w:before="0" w:line="300" w:lineRule="exact"/>
        <w:ind w:left="426" w:hanging="426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Nekázeň při parkování (fotodokumentace a výstupy celoplošných dopravních průzkumů).</w:t>
      </w:r>
    </w:p>
    <w:p w14:paraId="56BF7A50" w14:textId="77777777" w:rsidR="00394763" w:rsidRPr="00E6724F" w:rsidRDefault="00394763" w:rsidP="003C1F64">
      <w:pPr>
        <w:pStyle w:val="Odstavecseseznamem"/>
        <w:tabs>
          <w:tab w:val="left" w:pos="709"/>
        </w:tabs>
        <w:spacing w:before="0" w:line="300" w:lineRule="exact"/>
        <w:ind w:left="360" w:firstLine="0"/>
        <w:rPr>
          <w:rFonts w:ascii="Arial" w:hAnsi="Arial" w:cs="Arial"/>
          <w:sz w:val="20"/>
        </w:rPr>
      </w:pPr>
    </w:p>
    <w:p w14:paraId="0AC43F4F" w14:textId="77777777" w:rsidR="00394763" w:rsidRPr="00E6724F" w:rsidRDefault="00394763" w:rsidP="003C1F64">
      <w:pPr>
        <w:pStyle w:val="Odstavecseseznamem"/>
        <w:tabs>
          <w:tab w:val="left" w:pos="709"/>
        </w:tabs>
        <w:spacing w:before="0" w:line="300" w:lineRule="exact"/>
        <w:ind w:left="426" w:firstLine="0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Výsledkem analýzy je kompletní dokument obsahující tabulky, mapy, popisy, hodnocení, fotodokumentaci.</w:t>
      </w:r>
    </w:p>
    <w:p w14:paraId="25BD70EC" w14:textId="77777777" w:rsidR="003C1F64" w:rsidRPr="00E6724F" w:rsidRDefault="003C1F64" w:rsidP="00394763">
      <w:pPr>
        <w:pStyle w:val="Odstavecseseznamem"/>
        <w:tabs>
          <w:tab w:val="left" w:pos="709"/>
        </w:tabs>
        <w:spacing w:before="0" w:line="300" w:lineRule="exact"/>
        <w:ind w:left="360" w:firstLine="0"/>
        <w:jc w:val="left"/>
        <w:rPr>
          <w:rFonts w:ascii="Arial" w:hAnsi="Arial" w:cs="Arial"/>
          <w:sz w:val="20"/>
        </w:rPr>
      </w:pPr>
    </w:p>
    <w:p w14:paraId="6FA1E28D" w14:textId="40508AA9" w:rsidR="0001164F" w:rsidRPr="00E6724F" w:rsidRDefault="0001164F" w:rsidP="0080779B">
      <w:pPr>
        <w:pStyle w:val="Nadpis2"/>
        <w:numPr>
          <w:ilvl w:val="1"/>
          <w:numId w:val="36"/>
        </w:numPr>
        <w:rPr>
          <w:rFonts w:ascii="Arial" w:hAnsi="Arial" w:cs="Arial"/>
          <w:szCs w:val="22"/>
          <w:u w:val="single"/>
        </w:rPr>
      </w:pPr>
      <w:r w:rsidRPr="00E6724F">
        <w:rPr>
          <w:rFonts w:ascii="Arial" w:hAnsi="Arial" w:cs="Arial"/>
          <w:szCs w:val="22"/>
          <w:u w:val="single"/>
        </w:rPr>
        <w:t xml:space="preserve">Návrh </w:t>
      </w:r>
      <w:r w:rsidR="001C5586" w:rsidRPr="00E6724F">
        <w:rPr>
          <w:rFonts w:ascii="Arial" w:hAnsi="Arial" w:cs="Arial"/>
          <w:szCs w:val="22"/>
          <w:u w:val="single"/>
        </w:rPr>
        <w:t>řešení, doporučení a závěry</w:t>
      </w:r>
      <w:r w:rsidR="00304F4D" w:rsidRPr="00E6724F">
        <w:rPr>
          <w:rFonts w:ascii="Arial" w:hAnsi="Arial" w:cs="Arial"/>
          <w:szCs w:val="22"/>
          <w:u w:val="single"/>
        </w:rPr>
        <w:t xml:space="preserve"> – aktualizace 2025</w:t>
      </w:r>
    </w:p>
    <w:p w14:paraId="307D2CBE" w14:textId="77777777" w:rsidR="007C530F" w:rsidRPr="00E6724F" w:rsidRDefault="007C530F" w:rsidP="007C530F">
      <w:pPr>
        <w:pStyle w:val="Odstavecseseznamem"/>
        <w:spacing w:before="0" w:line="30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E6724F">
        <w:rPr>
          <w:rFonts w:ascii="Arial" w:hAnsi="Arial" w:cs="Arial"/>
          <w:b/>
          <w:sz w:val="20"/>
        </w:rPr>
        <w:t>Analýza dopravy v klidu musí obsahovat návrhy řešení, doporučení a závěry v minimálním rozsahu:</w:t>
      </w:r>
    </w:p>
    <w:p w14:paraId="4D2A2FB1" w14:textId="77777777" w:rsidR="007C530F" w:rsidRPr="00E6724F" w:rsidRDefault="007C530F" w:rsidP="007C530F">
      <w:pPr>
        <w:pStyle w:val="Odstavecseseznamem"/>
        <w:spacing w:before="0" w:line="300" w:lineRule="exact"/>
        <w:ind w:left="360" w:firstLine="0"/>
        <w:jc w:val="left"/>
        <w:rPr>
          <w:rFonts w:ascii="Arial" w:hAnsi="Arial" w:cs="Arial"/>
          <w:sz w:val="20"/>
        </w:rPr>
      </w:pPr>
    </w:p>
    <w:p w14:paraId="66747BC1" w14:textId="77777777" w:rsidR="007C530F" w:rsidRPr="00E6724F" w:rsidRDefault="0001164F" w:rsidP="007C530F">
      <w:pPr>
        <w:pStyle w:val="Odstavecseseznamem"/>
        <w:numPr>
          <w:ilvl w:val="0"/>
          <w:numId w:val="1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Celkové posouzení a vybilancování dopravy v klidu v hodnocených etapách;</w:t>
      </w:r>
    </w:p>
    <w:p w14:paraId="1DBC8EE1" w14:textId="77777777" w:rsidR="0001164F" w:rsidRPr="00E6724F" w:rsidRDefault="0001164F" w:rsidP="007C530F">
      <w:pPr>
        <w:pStyle w:val="Odstavecseseznamem"/>
        <w:numPr>
          <w:ilvl w:val="0"/>
          <w:numId w:val="1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 xml:space="preserve">Porovnání závěrů analýzy s dřívějšími </w:t>
      </w:r>
      <w:r w:rsidR="007C530F" w:rsidRPr="00E6724F">
        <w:rPr>
          <w:rFonts w:ascii="Arial" w:hAnsi="Arial" w:cs="Arial"/>
          <w:sz w:val="20"/>
        </w:rPr>
        <w:t>studiemi v oblasti dopravy v klidu;</w:t>
      </w:r>
    </w:p>
    <w:p w14:paraId="65C21990" w14:textId="77777777" w:rsidR="007C530F" w:rsidRPr="00E6724F" w:rsidRDefault="0001164F" w:rsidP="007C530F">
      <w:pPr>
        <w:pStyle w:val="Odstavecseseznamem"/>
        <w:numPr>
          <w:ilvl w:val="0"/>
          <w:numId w:val="1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Doporučení změn organizace dopravy v klidu na veřejných komunikacích;</w:t>
      </w:r>
    </w:p>
    <w:p w14:paraId="625BA29F" w14:textId="77777777" w:rsidR="0001164F" w:rsidRPr="00E6724F" w:rsidRDefault="0001164F" w:rsidP="0046219A">
      <w:pPr>
        <w:pStyle w:val="Odstavecseseznamem"/>
        <w:numPr>
          <w:ilvl w:val="0"/>
          <w:numId w:val="1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Doporučení na plošný rozsah zóny placeného stání a základní pravidla funkčnosti ZPS;</w:t>
      </w:r>
    </w:p>
    <w:p w14:paraId="28210B93" w14:textId="77777777" w:rsidR="0001164F" w:rsidRPr="00E6724F" w:rsidRDefault="0001164F" w:rsidP="0046219A">
      <w:pPr>
        <w:pStyle w:val="Odstavecseseznamem"/>
        <w:numPr>
          <w:ilvl w:val="0"/>
          <w:numId w:val="1"/>
        </w:numPr>
        <w:spacing w:before="0" w:line="300" w:lineRule="exact"/>
        <w:jc w:val="left"/>
        <w:rPr>
          <w:rFonts w:ascii="Arial" w:hAnsi="Arial" w:cs="Arial"/>
          <w:sz w:val="20"/>
        </w:rPr>
      </w:pPr>
      <w:r w:rsidRPr="00E6724F">
        <w:rPr>
          <w:rFonts w:ascii="Arial" w:hAnsi="Arial" w:cs="Arial"/>
          <w:sz w:val="20"/>
        </w:rPr>
        <w:t>Závěrečný komentář</w:t>
      </w:r>
      <w:r w:rsidR="002400A7" w:rsidRPr="00E6724F">
        <w:rPr>
          <w:rFonts w:ascii="Arial" w:hAnsi="Arial" w:cs="Arial"/>
          <w:sz w:val="20"/>
        </w:rPr>
        <w:t>.</w:t>
      </w:r>
    </w:p>
    <w:p w14:paraId="07FD3372" w14:textId="77777777" w:rsidR="00581C0C" w:rsidRPr="00E6724F" w:rsidRDefault="00581C0C" w:rsidP="007C530F">
      <w:pPr>
        <w:pStyle w:val="Odstavecseseznamem"/>
        <w:ind w:left="360" w:firstLine="0"/>
        <w:rPr>
          <w:rFonts w:ascii="Arial" w:hAnsi="Arial" w:cs="Arial"/>
          <w:sz w:val="20"/>
        </w:rPr>
      </w:pPr>
    </w:p>
    <w:p w14:paraId="61F332B4" w14:textId="7F13CEE2" w:rsidR="0080779B" w:rsidRPr="00E6724F" w:rsidRDefault="0080779B">
      <w:pPr>
        <w:spacing w:before="0" w:after="200" w:line="276" w:lineRule="auto"/>
        <w:jc w:val="left"/>
        <w:rPr>
          <w:rFonts w:ascii="Arial" w:hAnsi="Arial" w:cs="Arial"/>
        </w:rPr>
      </w:pPr>
      <w:r w:rsidRPr="00E6724F">
        <w:rPr>
          <w:rFonts w:ascii="Arial" w:hAnsi="Arial" w:cs="Arial"/>
        </w:rPr>
        <w:br w:type="page"/>
      </w:r>
    </w:p>
    <w:p w14:paraId="49ED1821" w14:textId="756C3119" w:rsidR="0001164F" w:rsidRPr="00E6724F" w:rsidRDefault="001C5586" w:rsidP="0080779B">
      <w:pPr>
        <w:pStyle w:val="Nadpis2"/>
        <w:numPr>
          <w:ilvl w:val="1"/>
          <w:numId w:val="36"/>
        </w:numPr>
        <w:rPr>
          <w:rFonts w:ascii="Arial" w:hAnsi="Arial" w:cs="Arial"/>
          <w:szCs w:val="22"/>
          <w:u w:val="single"/>
        </w:rPr>
      </w:pPr>
      <w:r w:rsidRPr="00E6724F">
        <w:rPr>
          <w:rFonts w:ascii="Arial" w:hAnsi="Arial" w:cs="Arial"/>
          <w:szCs w:val="22"/>
          <w:u w:val="single"/>
        </w:rPr>
        <w:lastRenderedPageBreak/>
        <w:t xml:space="preserve">Projednání </w:t>
      </w:r>
      <w:r w:rsidR="00E6724F">
        <w:rPr>
          <w:rFonts w:ascii="Arial" w:hAnsi="Arial" w:cs="Arial"/>
          <w:szCs w:val="22"/>
          <w:u w:val="single"/>
        </w:rPr>
        <w:t xml:space="preserve">aktualizované </w:t>
      </w:r>
      <w:r w:rsidRPr="00E6724F">
        <w:rPr>
          <w:rFonts w:ascii="Arial" w:hAnsi="Arial" w:cs="Arial"/>
          <w:szCs w:val="22"/>
          <w:u w:val="single"/>
        </w:rPr>
        <w:t>analýzy</w:t>
      </w:r>
    </w:p>
    <w:p w14:paraId="27C383AE" w14:textId="77777777" w:rsidR="001C5586" w:rsidRPr="00E6724F" w:rsidRDefault="001C5586" w:rsidP="001C5586">
      <w:pPr>
        <w:rPr>
          <w:rFonts w:ascii="Arial" w:hAnsi="Arial" w:cs="Arial"/>
          <w:lang w:eastAsia="cs-CZ"/>
        </w:rPr>
      </w:pPr>
      <w:r w:rsidRPr="00E6724F">
        <w:rPr>
          <w:rFonts w:ascii="Arial" w:hAnsi="Arial" w:cs="Arial"/>
          <w:lang w:eastAsia="cs-CZ"/>
        </w:rPr>
        <w:t>Závěry analýzy dopravy v klidu musí projít diskuzí na úrovni odborných, správních a samosprávních orgánů města, tj. zejména:</w:t>
      </w:r>
    </w:p>
    <w:p w14:paraId="129F6DF3" w14:textId="68264723" w:rsidR="0001164F" w:rsidRPr="00E6724F" w:rsidRDefault="00427F13" w:rsidP="0080779B">
      <w:pPr>
        <w:numPr>
          <w:ilvl w:val="0"/>
          <w:numId w:val="5"/>
        </w:numPr>
        <w:spacing w:before="0" w:after="0" w:line="360" w:lineRule="auto"/>
        <w:rPr>
          <w:rFonts w:ascii="Arial" w:hAnsi="Arial" w:cs="Arial"/>
          <w:bCs/>
          <w:snapToGrid w:val="0"/>
        </w:rPr>
      </w:pPr>
      <w:r w:rsidRPr="00E6724F">
        <w:rPr>
          <w:rFonts w:ascii="Arial" w:hAnsi="Arial" w:cs="Arial"/>
          <w:bCs/>
          <w:snapToGrid w:val="0"/>
        </w:rPr>
        <w:t>Odbor dopravy MHMP</w:t>
      </w:r>
      <w:r w:rsidR="0001164F" w:rsidRPr="00E6724F">
        <w:rPr>
          <w:rFonts w:ascii="Arial" w:hAnsi="Arial" w:cs="Arial"/>
          <w:bCs/>
          <w:snapToGrid w:val="0"/>
        </w:rPr>
        <w:t>;</w:t>
      </w:r>
    </w:p>
    <w:p w14:paraId="0949BE8D" w14:textId="77777777" w:rsidR="0001164F" w:rsidRPr="00E6724F" w:rsidRDefault="00427F13" w:rsidP="0080779B">
      <w:pPr>
        <w:numPr>
          <w:ilvl w:val="0"/>
          <w:numId w:val="5"/>
        </w:numPr>
        <w:spacing w:before="0" w:after="0" w:line="360" w:lineRule="auto"/>
        <w:rPr>
          <w:rFonts w:ascii="Arial" w:hAnsi="Arial" w:cs="Arial"/>
          <w:bCs/>
          <w:snapToGrid w:val="0"/>
        </w:rPr>
      </w:pPr>
      <w:r w:rsidRPr="00E6724F">
        <w:rPr>
          <w:rFonts w:ascii="Arial" w:hAnsi="Arial" w:cs="Arial"/>
          <w:bCs/>
          <w:snapToGrid w:val="0"/>
        </w:rPr>
        <w:t>TSK hl. m. Praha</w:t>
      </w:r>
      <w:r w:rsidR="0001164F" w:rsidRPr="00E6724F">
        <w:rPr>
          <w:rFonts w:ascii="Arial" w:hAnsi="Arial" w:cs="Arial"/>
          <w:bCs/>
          <w:snapToGrid w:val="0"/>
        </w:rPr>
        <w:t>;</w:t>
      </w:r>
    </w:p>
    <w:p w14:paraId="6D1FCE55" w14:textId="4F7482E4" w:rsidR="0001164F" w:rsidRPr="00E6724F" w:rsidRDefault="00427F13" w:rsidP="0080779B">
      <w:pPr>
        <w:numPr>
          <w:ilvl w:val="0"/>
          <w:numId w:val="5"/>
        </w:numPr>
        <w:spacing w:before="0" w:after="0" w:line="360" w:lineRule="auto"/>
        <w:rPr>
          <w:rFonts w:ascii="Arial" w:hAnsi="Arial" w:cs="Arial"/>
          <w:bCs/>
          <w:snapToGrid w:val="0"/>
        </w:rPr>
      </w:pPr>
      <w:r w:rsidRPr="00E6724F">
        <w:rPr>
          <w:rFonts w:ascii="Arial" w:hAnsi="Arial" w:cs="Arial"/>
          <w:bCs/>
          <w:snapToGrid w:val="0"/>
        </w:rPr>
        <w:t>Městská část</w:t>
      </w:r>
      <w:r w:rsidR="002400A7" w:rsidRPr="00E6724F">
        <w:rPr>
          <w:rFonts w:ascii="Arial" w:hAnsi="Arial" w:cs="Arial"/>
          <w:bCs/>
          <w:snapToGrid w:val="0"/>
        </w:rPr>
        <w:t>.</w:t>
      </w:r>
      <w:r w:rsidR="00E6724F">
        <w:rPr>
          <w:rFonts w:ascii="Arial" w:hAnsi="Arial" w:cs="Arial"/>
          <w:bCs/>
          <w:snapToGrid w:val="0"/>
        </w:rPr>
        <w:t xml:space="preserve"> Praha 12</w:t>
      </w:r>
    </w:p>
    <w:p w14:paraId="783B8C09" w14:textId="77777777" w:rsidR="001C5586" w:rsidRPr="00E6724F" w:rsidRDefault="001C5586" w:rsidP="001C5586">
      <w:pPr>
        <w:spacing w:before="0" w:after="0" w:line="276" w:lineRule="auto"/>
        <w:ind w:left="360"/>
        <w:rPr>
          <w:rFonts w:ascii="Arial" w:hAnsi="Arial" w:cs="Arial"/>
          <w:bCs/>
          <w:snapToGrid w:val="0"/>
        </w:rPr>
      </w:pPr>
    </w:p>
    <w:p w14:paraId="06080557" w14:textId="77777777" w:rsidR="00304F4D" w:rsidRPr="00E6724F" w:rsidRDefault="00304F4D" w:rsidP="001C5586">
      <w:pPr>
        <w:spacing w:before="0" w:after="0" w:line="276" w:lineRule="auto"/>
        <w:ind w:left="360"/>
        <w:rPr>
          <w:rFonts w:ascii="Arial" w:hAnsi="Arial" w:cs="Arial"/>
          <w:bCs/>
          <w:snapToGrid w:val="0"/>
        </w:rPr>
      </w:pPr>
    </w:p>
    <w:p w14:paraId="40E7A174" w14:textId="5133678B" w:rsidR="00304F4D" w:rsidRPr="00E6724F" w:rsidRDefault="003D4AFE" w:rsidP="0080779B">
      <w:pPr>
        <w:pStyle w:val="Nadpis2"/>
        <w:numPr>
          <w:ilvl w:val="1"/>
          <w:numId w:val="36"/>
        </w:numPr>
        <w:rPr>
          <w:rFonts w:ascii="Arial" w:hAnsi="Arial" w:cs="Arial"/>
          <w:u w:val="single"/>
        </w:rPr>
      </w:pPr>
      <w:r w:rsidRPr="00E6724F">
        <w:rPr>
          <w:rFonts w:ascii="Arial" w:hAnsi="Arial" w:cs="Arial"/>
          <w:u w:val="single"/>
        </w:rPr>
        <w:t>Rozsah území aktualizace 2025</w:t>
      </w:r>
    </w:p>
    <w:p w14:paraId="2EBF3154" w14:textId="74CFA3F0" w:rsidR="003D4AFE" w:rsidRPr="00E6724F" w:rsidRDefault="003D4AFE" w:rsidP="00901B92">
      <w:pPr>
        <w:ind w:firstLine="360"/>
        <w:rPr>
          <w:rFonts w:ascii="Arial" w:hAnsi="Arial" w:cs="Arial"/>
        </w:rPr>
      </w:pPr>
      <w:r w:rsidRPr="00E6724F">
        <w:rPr>
          <w:rFonts w:ascii="Arial" w:hAnsi="Arial" w:cs="Arial"/>
        </w:rPr>
        <w:t>Územní MČ Praha 12 mimo okrajové části (Cholupice</w:t>
      </w:r>
      <w:r w:rsidR="00AE1221" w:rsidRPr="00E6724F">
        <w:rPr>
          <w:rFonts w:ascii="Arial" w:hAnsi="Arial" w:cs="Arial"/>
        </w:rPr>
        <w:t>,</w:t>
      </w:r>
      <w:r w:rsidRPr="00E6724F">
        <w:rPr>
          <w:rFonts w:ascii="Arial" w:hAnsi="Arial" w:cs="Arial"/>
        </w:rPr>
        <w:t xml:space="preserve"> Točná a část Komořan)</w:t>
      </w:r>
    </w:p>
    <w:p w14:paraId="04C1887C" w14:textId="6EBB4A92" w:rsidR="003D4AFE" w:rsidRDefault="003D4AFE" w:rsidP="003D4AFE">
      <w:pPr>
        <w:rPr>
          <w:rFonts w:ascii="Arial" w:hAnsi="Arial" w:cs="Arial"/>
          <w:noProof/>
          <w:lang w:eastAsia="cs-CZ"/>
        </w:rPr>
      </w:pPr>
    </w:p>
    <w:p w14:paraId="0CA9A362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65E582BF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15099E8D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7CBDAF74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03A8C488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1180CD60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4147C606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7140110E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13C85AC5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5A19CE72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671ED9E0" w14:textId="77777777" w:rsidR="00476900" w:rsidRDefault="00476900" w:rsidP="003D4AFE">
      <w:pPr>
        <w:rPr>
          <w:rFonts w:ascii="Arial" w:hAnsi="Arial" w:cs="Arial"/>
          <w:noProof/>
          <w:lang w:eastAsia="cs-CZ"/>
        </w:rPr>
      </w:pPr>
    </w:p>
    <w:p w14:paraId="6F9DD347" w14:textId="77777777" w:rsidR="00A72999" w:rsidRDefault="00A72999" w:rsidP="003D4AFE">
      <w:pPr>
        <w:rPr>
          <w:rFonts w:ascii="Arial" w:hAnsi="Arial" w:cs="Arial"/>
          <w:noProof/>
          <w:lang w:eastAsia="cs-CZ"/>
        </w:rPr>
      </w:pPr>
    </w:p>
    <w:p w14:paraId="0856D9B4" w14:textId="77777777" w:rsidR="00A72999" w:rsidRDefault="00A72999" w:rsidP="003D4AFE">
      <w:pPr>
        <w:rPr>
          <w:rFonts w:ascii="Arial" w:hAnsi="Arial" w:cs="Arial"/>
          <w:noProof/>
          <w:lang w:eastAsia="cs-CZ"/>
        </w:rPr>
      </w:pPr>
    </w:p>
    <w:p w14:paraId="6C34A273" w14:textId="77777777" w:rsidR="00A72999" w:rsidRPr="00E6724F" w:rsidRDefault="00A72999" w:rsidP="003D4AFE">
      <w:pPr>
        <w:rPr>
          <w:rFonts w:ascii="Arial" w:hAnsi="Arial" w:cs="Arial"/>
          <w:lang w:eastAsia="cs-CZ"/>
        </w:rPr>
      </w:pPr>
    </w:p>
    <w:p w14:paraId="56D0C129" w14:textId="77777777" w:rsidR="00E6724F" w:rsidRDefault="00E6724F" w:rsidP="00E6724F">
      <w:pPr>
        <w:pStyle w:val="Nadpis1"/>
        <w:numPr>
          <w:ilvl w:val="0"/>
          <w:numId w:val="0"/>
        </w:numPr>
        <w:ind w:left="1080"/>
        <w:rPr>
          <w:rFonts w:ascii="Arial" w:hAnsi="Arial" w:cs="Arial"/>
          <w:u w:val="single"/>
        </w:rPr>
      </w:pPr>
    </w:p>
    <w:p w14:paraId="7672B5C1" w14:textId="4F49A1CB" w:rsidR="00901B92" w:rsidRPr="00E6724F" w:rsidRDefault="00901B92" w:rsidP="0080779B">
      <w:pPr>
        <w:pStyle w:val="Nadpis1"/>
        <w:numPr>
          <w:ilvl w:val="1"/>
          <w:numId w:val="36"/>
        </w:numPr>
        <w:rPr>
          <w:rFonts w:ascii="Arial" w:hAnsi="Arial" w:cs="Arial"/>
          <w:u w:val="single"/>
        </w:rPr>
      </w:pPr>
      <w:r w:rsidRPr="00E6724F">
        <w:rPr>
          <w:rFonts w:ascii="Arial" w:hAnsi="Arial" w:cs="Arial"/>
          <w:u w:val="single"/>
        </w:rPr>
        <w:t xml:space="preserve">Termín vyhotovení: </w:t>
      </w:r>
    </w:p>
    <w:p w14:paraId="4336BA8F" w14:textId="5E886B6F" w:rsidR="003D4AFE" w:rsidRPr="00E6724F" w:rsidRDefault="00924CDB" w:rsidP="00901B92">
      <w:pPr>
        <w:pStyle w:val="Nadpis1"/>
        <w:numPr>
          <w:ilvl w:val="0"/>
          <w:numId w:val="0"/>
        </w:numPr>
        <w:ind w:left="360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6</w:t>
      </w:r>
      <w:r w:rsidR="00901B92" w:rsidRPr="00E6724F">
        <w:rPr>
          <w:rFonts w:ascii="Arial" w:hAnsi="Arial" w:cs="Arial"/>
          <w:b w:val="0"/>
          <w:color w:val="auto"/>
          <w:sz w:val="20"/>
        </w:rPr>
        <w:t xml:space="preserve"> měsíců od účinnosti smlouvy</w:t>
      </w:r>
    </w:p>
    <w:p w14:paraId="5E12F370" w14:textId="77777777" w:rsidR="003D4AFE" w:rsidRPr="00E6724F" w:rsidRDefault="003D4AFE" w:rsidP="003D4AFE">
      <w:pPr>
        <w:rPr>
          <w:rFonts w:ascii="Arial" w:hAnsi="Arial" w:cs="Arial"/>
          <w:lang w:eastAsia="cs-CZ"/>
        </w:rPr>
      </w:pPr>
    </w:p>
    <w:sectPr w:rsidR="003D4AFE" w:rsidRPr="00E6724F" w:rsidSect="00E6724F">
      <w:headerReference w:type="default" r:id="rId8"/>
      <w:footerReference w:type="default" r:id="rId9"/>
      <w:pgSz w:w="11907" w:h="16839" w:code="9"/>
      <w:pgMar w:top="2101" w:right="850" w:bottom="1135" w:left="1276" w:header="708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10AE" w14:textId="77777777" w:rsidR="00657B64" w:rsidRDefault="00657B64" w:rsidP="003E40FD">
      <w:pPr>
        <w:spacing w:after="0" w:line="240" w:lineRule="auto"/>
      </w:pPr>
      <w:r>
        <w:separator/>
      </w:r>
    </w:p>
  </w:endnote>
  <w:endnote w:type="continuationSeparator" w:id="0">
    <w:p w14:paraId="269D08C2" w14:textId="77777777" w:rsidR="00657B64" w:rsidRDefault="00657B64" w:rsidP="003E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7457" w14:textId="03E49FB5" w:rsidR="00196BDB" w:rsidRPr="00195546" w:rsidRDefault="00196BDB" w:rsidP="00AE1221">
    <w:pPr>
      <w:spacing w:before="0" w:after="0" w:line="240" w:lineRule="auto"/>
      <w:jc w:val="right"/>
      <w:rPr>
        <w:sz w:val="18"/>
      </w:rPr>
    </w:pPr>
    <w:r w:rsidRPr="00195546">
      <w:rPr>
        <w:rFonts w:cs="Tahoma"/>
        <w:b/>
        <w:sz w:val="16"/>
        <w:szCs w:val="18"/>
      </w:rPr>
      <w:t xml:space="preserve">                  </w:t>
    </w:r>
    <w:r>
      <w:rPr>
        <w:rFonts w:cs="Tahoma"/>
        <w:b/>
        <w:sz w:val="16"/>
        <w:szCs w:val="18"/>
      </w:rPr>
      <w:t xml:space="preserve">                     </w:t>
    </w:r>
    <w:r w:rsidRPr="00195546">
      <w:rPr>
        <w:rFonts w:cs="Tahoma"/>
        <w:sz w:val="16"/>
        <w:szCs w:val="18"/>
      </w:rPr>
      <w:t>Strana číslo:</w:t>
    </w:r>
    <w:r w:rsidRPr="00195546">
      <w:rPr>
        <w:rFonts w:cs="Tahoma"/>
        <w:b/>
        <w:sz w:val="16"/>
        <w:szCs w:val="18"/>
      </w:rPr>
      <w:t xml:space="preserve"> </w:t>
    </w:r>
    <w:r w:rsidR="00F65630" w:rsidRPr="00195546">
      <w:rPr>
        <w:rFonts w:cs="Tahoma"/>
        <w:b/>
        <w:sz w:val="16"/>
        <w:szCs w:val="18"/>
      </w:rPr>
      <w:fldChar w:fldCharType="begin"/>
    </w:r>
    <w:r w:rsidRPr="00195546">
      <w:rPr>
        <w:rFonts w:cs="Tahoma"/>
        <w:b/>
        <w:sz w:val="16"/>
        <w:szCs w:val="18"/>
      </w:rPr>
      <w:instrText>PAGE   \* MERGEFORMAT</w:instrText>
    </w:r>
    <w:r w:rsidR="00F65630" w:rsidRPr="00195546">
      <w:rPr>
        <w:rFonts w:cs="Tahoma"/>
        <w:b/>
        <w:sz w:val="16"/>
        <w:szCs w:val="18"/>
      </w:rPr>
      <w:fldChar w:fldCharType="separate"/>
    </w:r>
    <w:r w:rsidR="0066178C">
      <w:rPr>
        <w:rFonts w:cs="Tahoma"/>
        <w:b/>
        <w:noProof/>
        <w:sz w:val="16"/>
        <w:szCs w:val="18"/>
      </w:rPr>
      <w:t>2</w:t>
    </w:r>
    <w:r w:rsidR="00F65630" w:rsidRPr="00195546">
      <w:rPr>
        <w:rFonts w:cs="Tahoma"/>
        <w:b/>
        <w:sz w:val="16"/>
        <w:szCs w:val="18"/>
      </w:rPr>
      <w:fldChar w:fldCharType="end"/>
    </w:r>
    <w:r w:rsidRPr="00195546">
      <w:rPr>
        <w:rStyle w:val="slostrnky"/>
        <w:rFonts w:cs="Tahoma"/>
        <w:sz w:val="16"/>
        <w:szCs w:val="18"/>
      </w:rPr>
      <w:t xml:space="preserve"> </w:t>
    </w:r>
    <w:r w:rsidRPr="00195546">
      <w:rPr>
        <w:rStyle w:val="slostrnky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D4A8" w14:textId="77777777" w:rsidR="00657B64" w:rsidRDefault="00657B64" w:rsidP="003E40FD">
      <w:pPr>
        <w:spacing w:after="0" w:line="240" w:lineRule="auto"/>
      </w:pPr>
      <w:r>
        <w:separator/>
      </w:r>
    </w:p>
  </w:footnote>
  <w:footnote w:type="continuationSeparator" w:id="0">
    <w:p w14:paraId="5B9E37F6" w14:textId="77777777" w:rsidR="00657B64" w:rsidRDefault="00657B64" w:rsidP="003E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1702" w14:textId="1E4E213D" w:rsidR="00E6724F" w:rsidRPr="00E6724F" w:rsidRDefault="00E6724F">
    <w:pPr>
      <w:pStyle w:val="Zhlav"/>
      <w:rPr>
        <w:rFonts w:ascii="Arial" w:hAnsi="Arial" w:cs="Arial"/>
        <w:b/>
        <w:bCs/>
        <w:sz w:val="24"/>
        <w:szCs w:val="24"/>
      </w:rPr>
    </w:pPr>
    <w:r w:rsidRPr="00E6724F">
      <w:rPr>
        <w:rFonts w:ascii="Arial" w:hAnsi="Arial" w:cs="Arial"/>
        <w:b/>
        <w:bCs/>
        <w:sz w:val="24"/>
        <w:szCs w:val="24"/>
      </w:rPr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C74"/>
    <w:multiLevelType w:val="multilevel"/>
    <w:tmpl w:val="925E9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BD007D"/>
    <w:multiLevelType w:val="multilevel"/>
    <w:tmpl w:val="724C5D72"/>
    <w:lvl w:ilvl="0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3658D6"/>
    <w:multiLevelType w:val="multilevel"/>
    <w:tmpl w:val="9CE0C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003F67"/>
    <w:multiLevelType w:val="hybridMultilevel"/>
    <w:tmpl w:val="3D16E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20769"/>
    <w:multiLevelType w:val="hybridMultilevel"/>
    <w:tmpl w:val="0C8A4BE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701104"/>
    <w:multiLevelType w:val="hybridMultilevel"/>
    <w:tmpl w:val="A5902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A0DFC"/>
    <w:multiLevelType w:val="multilevel"/>
    <w:tmpl w:val="7DDCC75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075304F"/>
    <w:multiLevelType w:val="hybridMultilevel"/>
    <w:tmpl w:val="BCA6A3B0"/>
    <w:lvl w:ilvl="0" w:tplc="0700E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8360FD"/>
    <w:multiLevelType w:val="multilevel"/>
    <w:tmpl w:val="50DA4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757DA2"/>
    <w:multiLevelType w:val="hybridMultilevel"/>
    <w:tmpl w:val="81A8A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F58CC"/>
    <w:multiLevelType w:val="hybridMultilevel"/>
    <w:tmpl w:val="87DCA86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7D07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852380"/>
    <w:multiLevelType w:val="multilevel"/>
    <w:tmpl w:val="5BE48E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631919"/>
    <w:multiLevelType w:val="multilevel"/>
    <w:tmpl w:val="F44E0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4A1722B5"/>
    <w:multiLevelType w:val="singleLevel"/>
    <w:tmpl w:val="7E00598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BD61E60"/>
    <w:multiLevelType w:val="hybridMultilevel"/>
    <w:tmpl w:val="E35E32E8"/>
    <w:lvl w:ilvl="0" w:tplc="8782E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53DB"/>
    <w:multiLevelType w:val="singleLevel"/>
    <w:tmpl w:val="0405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</w:abstractNum>
  <w:abstractNum w:abstractNumId="17" w15:restartNumberingAfterBreak="0">
    <w:nsid w:val="54E46FF9"/>
    <w:multiLevelType w:val="hybridMultilevel"/>
    <w:tmpl w:val="B2F6FA84"/>
    <w:lvl w:ilvl="0" w:tplc="7E005988">
      <w:start w:val="3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FB6D0D"/>
    <w:multiLevelType w:val="multilevel"/>
    <w:tmpl w:val="D598E018"/>
    <w:lvl w:ilvl="0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8012E8"/>
    <w:multiLevelType w:val="hybridMultilevel"/>
    <w:tmpl w:val="A63E39C4"/>
    <w:lvl w:ilvl="0" w:tplc="0405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67DC39D8"/>
    <w:multiLevelType w:val="hybridMultilevel"/>
    <w:tmpl w:val="7856E718"/>
    <w:lvl w:ilvl="0" w:tplc="161CB7AA">
      <w:start w:val="201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6085A"/>
    <w:multiLevelType w:val="hybridMultilevel"/>
    <w:tmpl w:val="5AB07466"/>
    <w:lvl w:ilvl="0" w:tplc="7E005988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E542C01"/>
    <w:multiLevelType w:val="hybridMultilevel"/>
    <w:tmpl w:val="A564680C"/>
    <w:lvl w:ilvl="0" w:tplc="29087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A108E9"/>
    <w:multiLevelType w:val="multilevel"/>
    <w:tmpl w:val="AA82A7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2615804">
    <w:abstractNumId w:val="0"/>
  </w:num>
  <w:num w:numId="2" w16cid:durableId="2037080941">
    <w:abstractNumId w:val="22"/>
  </w:num>
  <w:num w:numId="3" w16cid:durableId="826018273">
    <w:abstractNumId w:val="11"/>
  </w:num>
  <w:num w:numId="4" w16cid:durableId="477890264">
    <w:abstractNumId w:val="7"/>
  </w:num>
  <w:num w:numId="5" w16cid:durableId="151678075">
    <w:abstractNumId w:val="2"/>
  </w:num>
  <w:num w:numId="6" w16cid:durableId="1081442076">
    <w:abstractNumId w:val="8"/>
  </w:num>
  <w:num w:numId="7" w16cid:durableId="1020819435">
    <w:abstractNumId w:val="14"/>
  </w:num>
  <w:num w:numId="8" w16cid:durableId="628780031">
    <w:abstractNumId w:val="16"/>
  </w:num>
  <w:num w:numId="9" w16cid:durableId="2127043379">
    <w:abstractNumId w:val="21"/>
  </w:num>
  <w:num w:numId="10" w16cid:durableId="435252968">
    <w:abstractNumId w:val="19"/>
  </w:num>
  <w:num w:numId="11" w16cid:durableId="1452632319">
    <w:abstractNumId w:val="17"/>
  </w:num>
  <w:num w:numId="12" w16cid:durableId="1284845826">
    <w:abstractNumId w:val="23"/>
  </w:num>
  <w:num w:numId="13" w16cid:durableId="103113669">
    <w:abstractNumId w:val="6"/>
  </w:num>
  <w:num w:numId="14" w16cid:durableId="92478194">
    <w:abstractNumId w:val="15"/>
  </w:num>
  <w:num w:numId="15" w16cid:durableId="633491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0834518">
    <w:abstractNumId w:val="3"/>
  </w:num>
  <w:num w:numId="17" w16cid:durableId="2064477571">
    <w:abstractNumId w:val="4"/>
  </w:num>
  <w:num w:numId="18" w16cid:durableId="532692077">
    <w:abstractNumId w:val="10"/>
  </w:num>
  <w:num w:numId="19" w16cid:durableId="1220047031">
    <w:abstractNumId w:val="20"/>
  </w:num>
  <w:num w:numId="20" w16cid:durableId="1346131007">
    <w:abstractNumId w:val="12"/>
  </w:num>
  <w:num w:numId="21" w16cid:durableId="1071536271">
    <w:abstractNumId w:val="18"/>
  </w:num>
  <w:num w:numId="22" w16cid:durableId="1291324763">
    <w:abstractNumId w:val="1"/>
  </w:num>
  <w:num w:numId="23" w16cid:durableId="1395932079">
    <w:abstractNumId w:val="6"/>
  </w:num>
  <w:num w:numId="24" w16cid:durableId="1597328846">
    <w:abstractNumId w:val="6"/>
  </w:num>
  <w:num w:numId="25" w16cid:durableId="834416568">
    <w:abstractNumId w:val="6"/>
  </w:num>
  <w:num w:numId="26" w16cid:durableId="1729373553">
    <w:abstractNumId w:val="6"/>
  </w:num>
  <w:num w:numId="27" w16cid:durableId="73477968">
    <w:abstractNumId w:val="6"/>
  </w:num>
  <w:num w:numId="28" w16cid:durableId="869800349">
    <w:abstractNumId w:val="6"/>
  </w:num>
  <w:num w:numId="29" w16cid:durableId="314139652">
    <w:abstractNumId w:val="6"/>
  </w:num>
  <w:num w:numId="30" w16cid:durableId="1063020153">
    <w:abstractNumId w:val="6"/>
  </w:num>
  <w:num w:numId="31" w16cid:durableId="578253465">
    <w:abstractNumId w:val="6"/>
  </w:num>
  <w:num w:numId="32" w16cid:durableId="400568130">
    <w:abstractNumId w:val="6"/>
  </w:num>
  <w:num w:numId="33" w16cid:durableId="137036450">
    <w:abstractNumId w:val="6"/>
  </w:num>
  <w:num w:numId="34" w16cid:durableId="1878734552">
    <w:abstractNumId w:val="9"/>
  </w:num>
  <w:num w:numId="35" w16cid:durableId="2109738653">
    <w:abstractNumId w:val="5"/>
  </w:num>
  <w:num w:numId="36" w16cid:durableId="1427263944">
    <w:abstractNumId w:val="13"/>
  </w:num>
  <w:num w:numId="37" w16cid:durableId="747921612">
    <w:abstractNumId w:val="6"/>
  </w:num>
  <w:num w:numId="38" w16cid:durableId="1715618040">
    <w:abstractNumId w:val="6"/>
  </w:num>
  <w:num w:numId="39" w16cid:durableId="16267044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 fillcolor="yellow">
      <v:fill 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FD"/>
    <w:rsid w:val="0001164F"/>
    <w:rsid w:val="00016ACA"/>
    <w:rsid w:val="00047E4A"/>
    <w:rsid w:val="000514B3"/>
    <w:rsid w:val="0005181C"/>
    <w:rsid w:val="0006284B"/>
    <w:rsid w:val="00072FF7"/>
    <w:rsid w:val="00085913"/>
    <w:rsid w:val="00085BAF"/>
    <w:rsid w:val="000A3A6C"/>
    <w:rsid w:val="000A6D61"/>
    <w:rsid w:val="000B46AB"/>
    <w:rsid w:val="000B6053"/>
    <w:rsid w:val="000F30B2"/>
    <w:rsid w:val="001061BD"/>
    <w:rsid w:val="00106AB0"/>
    <w:rsid w:val="00113F02"/>
    <w:rsid w:val="00115CA4"/>
    <w:rsid w:val="00121EA1"/>
    <w:rsid w:val="00126F06"/>
    <w:rsid w:val="00127B2E"/>
    <w:rsid w:val="001346FD"/>
    <w:rsid w:val="001459EB"/>
    <w:rsid w:val="00151446"/>
    <w:rsid w:val="00156254"/>
    <w:rsid w:val="00165B2E"/>
    <w:rsid w:val="001714F3"/>
    <w:rsid w:val="00172AE5"/>
    <w:rsid w:val="00181F2E"/>
    <w:rsid w:val="0019302C"/>
    <w:rsid w:val="00193EDD"/>
    <w:rsid w:val="00193F88"/>
    <w:rsid w:val="00195546"/>
    <w:rsid w:val="001956BE"/>
    <w:rsid w:val="00196BDB"/>
    <w:rsid w:val="001A1256"/>
    <w:rsid w:val="001B1C32"/>
    <w:rsid w:val="001B1EAC"/>
    <w:rsid w:val="001B4EA3"/>
    <w:rsid w:val="001C0126"/>
    <w:rsid w:val="001C221C"/>
    <w:rsid w:val="001C5586"/>
    <w:rsid w:val="001D3BA0"/>
    <w:rsid w:val="001E09D0"/>
    <w:rsid w:val="001E2D76"/>
    <w:rsid w:val="001E447B"/>
    <w:rsid w:val="001E44AB"/>
    <w:rsid w:val="001F4AF0"/>
    <w:rsid w:val="001F7D6A"/>
    <w:rsid w:val="00202AB6"/>
    <w:rsid w:val="0021264B"/>
    <w:rsid w:val="00214F52"/>
    <w:rsid w:val="0021563D"/>
    <w:rsid w:val="00223AC3"/>
    <w:rsid w:val="0022446D"/>
    <w:rsid w:val="002322AB"/>
    <w:rsid w:val="002328B0"/>
    <w:rsid w:val="002400A7"/>
    <w:rsid w:val="002434AE"/>
    <w:rsid w:val="002460A4"/>
    <w:rsid w:val="00255B3A"/>
    <w:rsid w:val="0025626C"/>
    <w:rsid w:val="00257B2C"/>
    <w:rsid w:val="00257BC4"/>
    <w:rsid w:val="00264C71"/>
    <w:rsid w:val="00266866"/>
    <w:rsid w:val="00273808"/>
    <w:rsid w:val="00273D07"/>
    <w:rsid w:val="00274209"/>
    <w:rsid w:val="0028783C"/>
    <w:rsid w:val="002971B8"/>
    <w:rsid w:val="00297473"/>
    <w:rsid w:val="002A27DC"/>
    <w:rsid w:val="002A3172"/>
    <w:rsid w:val="002A5F12"/>
    <w:rsid w:val="002C0E3E"/>
    <w:rsid w:val="002C725C"/>
    <w:rsid w:val="002E1C5C"/>
    <w:rsid w:val="002F0BA4"/>
    <w:rsid w:val="002F2A63"/>
    <w:rsid w:val="00304F4D"/>
    <w:rsid w:val="00307F63"/>
    <w:rsid w:val="00310819"/>
    <w:rsid w:val="00342DB4"/>
    <w:rsid w:val="003531B1"/>
    <w:rsid w:val="0035456E"/>
    <w:rsid w:val="003621F0"/>
    <w:rsid w:val="003638D6"/>
    <w:rsid w:val="00365122"/>
    <w:rsid w:val="00370EEA"/>
    <w:rsid w:val="00373E12"/>
    <w:rsid w:val="00377F47"/>
    <w:rsid w:val="00383893"/>
    <w:rsid w:val="00384344"/>
    <w:rsid w:val="00394763"/>
    <w:rsid w:val="003A071B"/>
    <w:rsid w:val="003B280A"/>
    <w:rsid w:val="003B4762"/>
    <w:rsid w:val="003B4DB9"/>
    <w:rsid w:val="003C1F64"/>
    <w:rsid w:val="003C7A94"/>
    <w:rsid w:val="003D046B"/>
    <w:rsid w:val="003D148D"/>
    <w:rsid w:val="003D4AFE"/>
    <w:rsid w:val="003E0A25"/>
    <w:rsid w:val="003E109B"/>
    <w:rsid w:val="003E2816"/>
    <w:rsid w:val="003E40FD"/>
    <w:rsid w:val="003F6ECF"/>
    <w:rsid w:val="00402539"/>
    <w:rsid w:val="0040254F"/>
    <w:rsid w:val="00411417"/>
    <w:rsid w:val="004145DD"/>
    <w:rsid w:val="00416FFC"/>
    <w:rsid w:val="004228C0"/>
    <w:rsid w:val="00427F13"/>
    <w:rsid w:val="00430BCE"/>
    <w:rsid w:val="00432A14"/>
    <w:rsid w:val="00443B04"/>
    <w:rsid w:val="004467C1"/>
    <w:rsid w:val="00451614"/>
    <w:rsid w:val="00451984"/>
    <w:rsid w:val="004522FC"/>
    <w:rsid w:val="00455811"/>
    <w:rsid w:val="0046219A"/>
    <w:rsid w:val="0046407E"/>
    <w:rsid w:val="00466D72"/>
    <w:rsid w:val="00476900"/>
    <w:rsid w:val="00493B1C"/>
    <w:rsid w:val="004B1396"/>
    <w:rsid w:val="004B2797"/>
    <w:rsid w:val="004B50BD"/>
    <w:rsid w:val="004C6850"/>
    <w:rsid w:val="004D3454"/>
    <w:rsid w:val="004D41AD"/>
    <w:rsid w:val="004E0C46"/>
    <w:rsid w:val="004E43BF"/>
    <w:rsid w:val="004E5403"/>
    <w:rsid w:val="004F4990"/>
    <w:rsid w:val="00503119"/>
    <w:rsid w:val="00515889"/>
    <w:rsid w:val="00515B63"/>
    <w:rsid w:val="0053073F"/>
    <w:rsid w:val="00547E7B"/>
    <w:rsid w:val="00552653"/>
    <w:rsid w:val="00553A77"/>
    <w:rsid w:val="005666DD"/>
    <w:rsid w:val="005673A0"/>
    <w:rsid w:val="0057062B"/>
    <w:rsid w:val="00581C0C"/>
    <w:rsid w:val="00585FA7"/>
    <w:rsid w:val="00592F27"/>
    <w:rsid w:val="005936B1"/>
    <w:rsid w:val="005947CF"/>
    <w:rsid w:val="00595CA1"/>
    <w:rsid w:val="005A6C2C"/>
    <w:rsid w:val="005A76AF"/>
    <w:rsid w:val="005C0087"/>
    <w:rsid w:val="005D2D2F"/>
    <w:rsid w:val="005E73EE"/>
    <w:rsid w:val="005F36A1"/>
    <w:rsid w:val="00605843"/>
    <w:rsid w:val="006070DF"/>
    <w:rsid w:val="006117FC"/>
    <w:rsid w:val="00621DFF"/>
    <w:rsid w:val="006302E5"/>
    <w:rsid w:val="00632F1F"/>
    <w:rsid w:val="00634A0E"/>
    <w:rsid w:val="006443C9"/>
    <w:rsid w:val="00657B64"/>
    <w:rsid w:val="0066178C"/>
    <w:rsid w:val="006622FE"/>
    <w:rsid w:val="00662575"/>
    <w:rsid w:val="006644C4"/>
    <w:rsid w:val="00666DD4"/>
    <w:rsid w:val="00672A73"/>
    <w:rsid w:val="00687649"/>
    <w:rsid w:val="006902D3"/>
    <w:rsid w:val="00691795"/>
    <w:rsid w:val="0069435A"/>
    <w:rsid w:val="00695B86"/>
    <w:rsid w:val="006A2FAF"/>
    <w:rsid w:val="006B623E"/>
    <w:rsid w:val="006E5713"/>
    <w:rsid w:val="00707B57"/>
    <w:rsid w:val="007109B3"/>
    <w:rsid w:val="0071176F"/>
    <w:rsid w:val="00712ACF"/>
    <w:rsid w:val="0072304A"/>
    <w:rsid w:val="00724A9E"/>
    <w:rsid w:val="0072611B"/>
    <w:rsid w:val="007270E6"/>
    <w:rsid w:val="00732205"/>
    <w:rsid w:val="0073266C"/>
    <w:rsid w:val="007503B9"/>
    <w:rsid w:val="007540D8"/>
    <w:rsid w:val="007545C9"/>
    <w:rsid w:val="00772E0A"/>
    <w:rsid w:val="00774BF5"/>
    <w:rsid w:val="00780387"/>
    <w:rsid w:val="00787ADA"/>
    <w:rsid w:val="0079510D"/>
    <w:rsid w:val="007B1D9D"/>
    <w:rsid w:val="007C190E"/>
    <w:rsid w:val="007C2919"/>
    <w:rsid w:val="007C43F4"/>
    <w:rsid w:val="007C530F"/>
    <w:rsid w:val="007D0832"/>
    <w:rsid w:val="007E3E25"/>
    <w:rsid w:val="0080779B"/>
    <w:rsid w:val="008273A5"/>
    <w:rsid w:val="00850730"/>
    <w:rsid w:val="008558FB"/>
    <w:rsid w:val="00862B3B"/>
    <w:rsid w:val="00886A67"/>
    <w:rsid w:val="00890E91"/>
    <w:rsid w:val="00897BDF"/>
    <w:rsid w:val="008A62C8"/>
    <w:rsid w:val="008A740E"/>
    <w:rsid w:val="008C28AF"/>
    <w:rsid w:val="008D273C"/>
    <w:rsid w:val="008D3B0C"/>
    <w:rsid w:val="008D408F"/>
    <w:rsid w:val="008E1DAD"/>
    <w:rsid w:val="008E2A8C"/>
    <w:rsid w:val="008E61F1"/>
    <w:rsid w:val="00901B92"/>
    <w:rsid w:val="00911476"/>
    <w:rsid w:val="009126DA"/>
    <w:rsid w:val="009204E8"/>
    <w:rsid w:val="00924CDB"/>
    <w:rsid w:val="009257D7"/>
    <w:rsid w:val="00931370"/>
    <w:rsid w:val="00931769"/>
    <w:rsid w:val="0093371C"/>
    <w:rsid w:val="0094251B"/>
    <w:rsid w:val="00946E61"/>
    <w:rsid w:val="00947F19"/>
    <w:rsid w:val="00956E28"/>
    <w:rsid w:val="00966077"/>
    <w:rsid w:val="00984BE7"/>
    <w:rsid w:val="00986213"/>
    <w:rsid w:val="009A77DC"/>
    <w:rsid w:val="009C24B5"/>
    <w:rsid w:val="009D6D46"/>
    <w:rsid w:val="009E3952"/>
    <w:rsid w:val="009F1BFC"/>
    <w:rsid w:val="009F6BCD"/>
    <w:rsid w:val="00A11484"/>
    <w:rsid w:val="00A1604D"/>
    <w:rsid w:val="00A17509"/>
    <w:rsid w:val="00A31055"/>
    <w:rsid w:val="00A36519"/>
    <w:rsid w:val="00A37DE0"/>
    <w:rsid w:val="00A470E0"/>
    <w:rsid w:val="00A51E0B"/>
    <w:rsid w:val="00A52FFB"/>
    <w:rsid w:val="00A60B02"/>
    <w:rsid w:val="00A71D75"/>
    <w:rsid w:val="00A72999"/>
    <w:rsid w:val="00A73274"/>
    <w:rsid w:val="00A73C8C"/>
    <w:rsid w:val="00A76CA0"/>
    <w:rsid w:val="00A871EF"/>
    <w:rsid w:val="00AB0162"/>
    <w:rsid w:val="00AB2A5F"/>
    <w:rsid w:val="00AB46C8"/>
    <w:rsid w:val="00AB7BDD"/>
    <w:rsid w:val="00AD79BA"/>
    <w:rsid w:val="00AE0FD0"/>
    <w:rsid w:val="00AE1221"/>
    <w:rsid w:val="00AF736A"/>
    <w:rsid w:val="00B20BCF"/>
    <w:rsid w:val="00B236DB"/>
    <w:rsid w:val="00B25389"/>
    <w:rsid w:val="00B26055"/>
    <w:rsid w:val="00B42696"/>
    <w:rsid w:val="00B42B31"/>
    <w:rsid w:val="00B524CB"/>
    <w:rsid w:val="00B53D8A"/>
    <w:rsid w:val="00B54895"/>
    <w:rsid w:val="00B622F5"/>
    <w:rsid w:val="00B62335"/>
    <w:rsid w:val="00B647C1"/>
    <w:rsid w:val="00B64E7E"/>
    <w:rsid w:val="00B833B2"/>
    <w:rsid w:val="00B84C83"/>
    <w:rsid w:val="00B90AE5"/>
    <w:rsid w:val="00B9465E"/>
    <w:rsid w:val="00BA04FB"/>
    <w:rsid w:val="00BA1D46"/>
    <w:rsid w:val="00BA7598"/>
    <w:rsid w:val="00BB2E93"/>
    <w:rsid w:val="00BC2335"/>
    <w:rsid w:val="00BC311C"/>
    <w:rsid w:val="00BC3588"/>
    <w:rsid w:val="00BC5D47"/>
    <w:rsid w:val="00BD5ACE"/>
    <w:rsid w:val="00BE4BCE"/>
    <w:rsid w:val="00BF222E"/>
    <w:rsid w:val="00BF30B0"/>
    <w:rsid w:val="00BF43FC"/>
    <w:rsid w:val="00C116DC"/>
    <w:rsid w:val="00C14187"/>
    <w:rsid w:val="00C16D98"/>
    <w:rsid w:val="00C203F2"/>
    <w:rsid w:val="00C20731"/>
    <w:rsid w:val="00C2093F"/>
    <w:rsid w:val="00C22A3C"/>
    <w:rsid w:val="00C27740"/>
    <w:rsid w:val="00C30E1E"/>
    <w:rsid w:val="00C31A78"/>
    <w:rsid w:val="00C336B2"/>
    <w:rsid w:val="00C3617F"/>
    <w:rsid w:val="00C375E2"/>
    <w:rsid w:val="00C4690B"/>
    <w:rsid w:val="00C56766"/>
    <w:rsid w:val="00C607E6"/>
    <w:rsid w:val="00C7292B"/>
    <w:rsid w:val="00C740B1"/>
    <w:rsid w:val="00C911CC"/>
    <w:rsid w:val="00CA4478"/>
    <w:rsid w:val="00CA4E68"/>
    <w:rsid w:val="00CA6058"/>
    <w:rsid w:val="00CB38F3"/>
    <w:rsid w:val="00CB5570"/>
    <w:rsid w:val="00CC3E15"/>
    <w:rsid w:val="00CD26BE"/>
    <w:rsid w:val="00CD368B"/>
    <w:rsid w:val="00CE251D"/>
    <w:rsid w:val="00CE54FF"/>
    <w:rsid w:val="00D03DC4"/>
    <w:rsid w:val="00D106B6"/>
    <w:rsid w:val="00D13080"/>
    <w:rsid w:val="00D23C21"/>
    <w:rsid w:val="00D24C91"/>
    <w:rsid w:val="00D271BF"/>
    <w:rsid w:val="00D30C78"/>
    <w:rsid w:val="00D37C27"/>
    <w:rsid w:val="00D40AF3"/>
    <w:rsid w:val="00D42A90"/>
    <w:rsid w:val="00D53713"/>
    <w:rsid w:val="00D5523D"/>
    <w:rsid w:val="00D5708A"/>
    <w:rsid w:val="00D602CD"/>
    <w:rsid w:val="00D60A3E"/>
    <w:rsid w:val="00D62472"/>
    <w:rsid w:val="00D65CED"/>
    <w:rsid w:val="00D67C45"/>
    <w:rsid w:val="00D750D4"/>
    <w:rsid w:val="00D9375F"/>
    <w:rsid w:val="00D962F7"/>
    <w:rsid w:val="00DA643E"/>
    <w:rsid w:val="00DB66A1"/>
    <w:rsid w:val="00DC19FB"/>
    <w:rsid w:val="00DD7174"/>
    <w:rsid w:val="00DF05A2"/>
    <w:rsid w:val="00DF0C9B"/>
    <w:rsid w:val="00DF2DB9"/>
    <w:rsid w:val="00DF447D"/>
    <w:rsid w:val="00DF580F"/>
    <w:rsid w:val="00E06157"/>
    <w:rsid w:val="00E12AA2"/>
    <w:rsid w:val="00E15F1A"/>
    <w:rsid w:val="00E16A2C"/>
    <w:rsid w:val="00E205DB"/>
    <w:rsid w:val="00E3400A"/>
    <w:rsid w:val="00E340F5"/>
    <w:rsid w:val="00E4466F"/>
    <w:rsid w:val="00E523E5"/>
    <w:rsid w:val="00E53130"/>
    <w:rsid w:val="00E60524"/>
    <w:rsid w:val="00E66508"/>
    <w:rsid w:val="00E66A87"/>
    <w:rsid w:val="00E6724F"/>
    <w:rsid w:val="00E81BC8"/>
    <w:rsid w:val="00E9548C"/>
    <w:rsid w:val="00E97F56"/>
    <w:rsid w:val="00EB1A91"/>
    <w:rsid w:val="00EB4B5D"/>
    <w:rsid w:val="00EC1709"/>
    <w:rsid w:val="00EC4B95"/>
    <w:rsid w:val="00EC6330"/>
    <w:rsid w:val="00EF18F4"/>
    <w:rsid w:val="00EF3E53"/>
    <w:rsid w:val="00EF6472"/>
    <w:rsid w:val="00EF65B8"/>
    <w:rsid w:val="00EF672A"/>
    <w:rsid w:val="00F04A40"/>
    <w:rsid w:val="00F06299"/>
    <w:rsid w:val="00F232D7"/>
    <w:rsid w:val="00F334B6"/>
    <w:rsid w:val="00F34198"/>
    <w:rsid w:val="00F45893"/>
    <w:rsid w:val="00F52757"/>
    <w:rsid w:val="00F57683"/>
    <w:rsid w:val="00F64A3A"/>
    <w:rsid w:val="00F65630"/>
    <w:rsid w:val="00F659A4"/>
    <w:rsid w:val="00F71E4D"/>
    <w:rsid w:val="00F77FF3"/>
    <w:rsid w:val="00F86D07"/>
    <w:rsid w:val="00F86E99"/>
    <w:rsid w:val="00F9365E"/>
    <w:rsid w:val="00FA45DB"/>
    <w:rsid w:val="00FA5D54"/>
    <w:rsid w:val="00FA6A7D"/>
    <w:rsid w:val="00FB611D"/>
    <w:rsid w:val="00FD045A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</o:shapedefaults>
    <o:shapelayout v:ext="edit">
      <o:idmap v:ext="edit" data="2"/>
    </o:shapelayout>
  </w:shapeDefaults>
  <w:decimalSymbol w:val=","/>
  <w:listSeparator w:val=";"/>
  <w14:docId w14:val="7AD165A4"/>
  <w15:docId w15:val="{0800E862-4F79-4AFF-A899-42B34594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ACF"/>
    <w:pPr>
      <w:spacing w:before="120" w:after="120" w:line="300" w:lineRule="exact"/>
      <w:jc w:val="both"/>
    </w:pPr>
    <w:rPr>
      <w:rFonts w:ascii="Tahoma" w:hAnsi="Tahoma"/>
      <w:sz w:val="20"/>
    </w:rPr>
  </w:style>
  <w:style w:type="paragraph" w:styleId="Nadpis1">
    <w:name w:val="heading 1"/>
    <w:basedOn w:val="Odstavecseseznamem"/>
    <w:next w:val="Normln"/>
    <w:link w:val="Nadpis1Char"/>
    <w:qFormat/>
    <w:rsid w:val="00C7292B"/>
    <w:pPr>
      <w:numPr>
        <w:numId w:val="13"/>
      </w:numPr>
      <w:spacing w:line="360" w:lineRule="auto"/>
      <w:outlineLvl w:val="0"/>
    </w:pPr>
    <w:rPr>
      <w:rFonts w:cs="Tahoma"/>
      <w:b/>
      <w:color w:val="0000FF"/>
      <w:sz w:val="24"/>
    </w:rPr>
  </w:style>
  <w:style w:type="paragraph" w:styleId="Nadpis2">
    <w:name w:val="heading 2"/>
    <w:basedOn w:val="Nadpis1"/>
    <w:next w:val="Normln"/>
    <w:link w:val="Nadpis2Char"/>
    <w:qFormat/>
    <w:rsid w:val="00C7292B"/>
    <w:pPr>
      <w:numPr>
        <w:ilvl w:val="1"/>
      </w:numPr>
      <w:outlineLvl w:val="1"/>
    </w:pPr>
    <w:rPr>
      <w:sz w:val="22"/>
    </w:rPr>
  </w:style>
  <w:style w:type="paragraph" w:styleId="Nadpis3">
    <w:name w:val="heading 3"/>
    <w:basedOn w:val="Normln"/>
    <w:next w:val="Normln"/>
    <w:link w:val="Nadpis3Char"/>
    <w:qFormat/>
    <w:rsid w:val="009F6BCD"/>
    <w:pPr>
      <w:keepNext/>
      <w:numPr>
        <w:ilvl w:val="2"/>
        <w:numId w:val="13"/>
      </w:numPr>
      <w:spacing w:line="320" w:lineRule="exact"/>
      <w:outlineLvl w:val="2"/>
    </w:pPr>
    <w:rPr>
      <w:rFonts w:eastAsia="Times New Roman" w:cs="Tahoma"/>
      <w:b/>
      <w:color w:val="0000FF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7292B"/>
    <w:pPr>
      <w:keepNext/>
      <w:numPr>
        <w:ilvl w:val="3"/>
        <w:numId w:val="13"/>
      </w:numPr>
      <w:spacing w:line="320" w:lineRule="exact"/>
      <w:outlineLvl w:val="3"/>
    </w:pPr>
    <w:rPr>
      <w:rFonts w:eastAsia="Times New Roman" w:cs="Times New Roman"/>
      <w:b/>
      <w:sz w:val="24"/>
      <w:szCs w:val="20"/>
      <w:u w:val="single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7292B"/>
    <w:pPr>
      <w:keepNext/>
      <w:numPr>
        <w:ilvl w:val="4"/>
        <w:numId w:val="13"/>
      </w:numPr>
      <w:spacing w:line="320" w:lineRule="exact"/>
      <w:outlineLvl w:val="4"/>
    </w:pPr>
    <w:rPr>
      <w:rFonts w:eastAsia="Times New Roman" w:cs="Times New Roman"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7292B"/>
    <w:pPr>
      <w:keepNext/>
      <w:numPr>
        <w:ilvl w:val="5"/>
        <w:numId w:val="13"/>
      </w:numPr>
      <w:spacing w:line="320" w:lineRule="exact"/>
      <w:jc w:val="right"/>
      <w:outlineLvl w:val="5"/>
    </w:pPr>
    <w:rPr>
      <w:rFonts w:eastAsia="Times New Roman" w:cs="Times New Roman"/>
      <w:b/>
      <w:bCs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7292B"/>
    <w:pPr>
      <w:numPr>
        <w:ilvl w:val="6"/>
        <w:numId w:val="13"/>
      </w:numPr>
      <w:spacing w:before="240" w:after="60" w:line="320" w:lineRule="exact"/>
      <w:outlineLvl w:val="6"/>
    </w:pPr>
    <w:rPr>
      <w:rFonts w:eastAsia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7292B"/>
    <w:pPr>
      <w:numPr>
        <w:ilvl w:val="7"/>
        <w:numId w:val="13"/>
      </w:numPr>
      <w:spacing w:before="240" w:after="60" w:line="320" w:lineRule="exact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7292B"/>
    <w:pPr>
      <w:numPr>
        <w:ilvl w:val="8"/>
        <w:numId w:val="13"/>
      </w:numPr>
      <w:spacing w:before="240" w:after="60" w:line="320" w:lineRule="exact"/>
      <w:outlineLvl w:val="8"/>
    </w:pPr>
    <w:rPr>
      <w:rFonts w:ascii="Arial" w:eastAsia="Times New Roman" w:hAnsi="Arial" w:cs="Arial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3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18F4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8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E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E40FD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3E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0FD"/>
    <w:rPr>
      <w:rFonts w:ascii="Tahoma" w:hAnsi="Tahoma"/>
      <w:sz w:val="20"/>
    </w:rPr>
  </w:style>
  <w:style w:type="character" w:styleId="Hypertextovodkaz">
    <w:name w:val="Hyperlink"/>
    <w:basedOn w:val="Standardnpsmoodstavce"/>
    <w:uiPriority w:val="99"/>
    <w:unhideWhenUsed/>
    <w:rsid w:val="00223AC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7292B"/>
    <w:pPr>
      <w:spacing w:line="320" w:lineRule="exact"/>
      <w:ind w:left="720" w:firstLine="567"/>
      <w:contextualSpacing/>
    </w:pPr>
    <w:rPr>
      <w:rFonts w:eastAsia="Times New Roman" w:cs="Times New Roman"/>
      <w:sz w:val="22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7292B"/>
    <w:rPr>
      <w:rFonts w:ascii="Tahoma" w:eastAsia="Times New Roman" w:hAnsi="Tahoma" w:cs="Tahoma"/>
      <w:b/>
      <w:color w:val="0000FF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7292B"/>
    <w:rPr>
      <w:rFonts w:ascii="Tahoma" w:eastAsia="Times New Roman" w:hAnsi="Tahoma" w:cs="Tahoma"/>
      <w:b/>
      <w:color w:val="0000FF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F6BCD"/>
    <w:rPr>
      <w:rFonts w:ascii="Tahoma" w:eastAsia="Times New Roman" w:hAnsi="Tahoma" w:cs="Tahoma"/>
      <w:b/>
      <w:color w:val="0000FF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7292B"/>
    <w:rPr>
      <w:rFonts w:ascii="Tahoma" w:eastAsia="Times New Roman" w:hAnsi="Tahoma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7292B"/>
    <w:rPr>
      <w:rFonts w:ascii="Tahoma" w:eastAsia="Times New Roman" w:hAnsi="Tahoma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C7292B"/>
    <w:rPr>
      <w:rFonts w:ascii="Tahoma" w:eastAsia="Times New Roman" w:hAnsi="Tahoma" w:cs="Times New Roman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7292B"/>
    <w:rPr>
      <w:rFonts w:ascii="Tahoma" w:eastAsia="Times New Roman" w:hAnsi="Tahoma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7292B"/>
    <w:rPr>
      <w:rFonts w:ascii="Tahoma" w:eastAsia="Times New Roman" w:hAnsi="Tahoma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7292B"/>
    <w:rPr>
      <w:rFonts w:ascii="Arial" w:eastAsia="Times New Roman" w:hAnsi="Arial" w:cs="Arial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6052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zevknihy">
    <w:name w:val="Book Title"/>
    <w:basedOn w:val="Standardnpsmoodstavce"/>
    <w:uiPriority w:val="33"/>
    <w:qFormat/>
    <w:rsid w:val="00712ACF"/>
    <w:rPr>
      <w:b/>
      <w:bCs/>
      <w:smallCaps/>
      <w:spacing w:val="5"/>
    </w:rPr>
  </w:style>
  <w:style w:type="character" w:styleId="slostrnky">
    <w:name w:val="page number"/>
    <w:basedOn w:val="Standardnpsmoodstavce"/>
    <w:rsid w:val="00195546"/>
  </w:style>
  <w:style w:type="paragraph" w:styleId="Zkladntextodsazen2">
    <w:name w:val="Body Text Indent 2"/>
    <w:basedOn w:val="Normln"/>
    <w:link w:val="Zkladntextodsazen2Char"/>
    <w:semiHidden/>
    <w:rsid w:val="00F52757"/>
    <w:pPr>
      <w:spacing w:before="0" w:after="0"/>
      <w:ind w:left="720" w:hanging="720"/>
    </w:pPr>
    <w:rPr>
      <w:rFonts w:ascii="Microsoft Sans Serif" w:eastAsia="Times New Roman" w:hAnsi="Microsoft Sans Serif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52757"/>
    <w:rPr>
      <w:rFonts w:ascii="Microsoft Sans Serif" w:eastAsia="Times New Roman" w:hAnsi="Microsoft Sans Serif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558FB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558FB"/>
    <w:rPr>
      <w:rFonts w:ascii="Tahoma" w:hAnsi="Tahoma"/>
      <w:sz w:val="16"/>
      <w:szCs w:val="16"/>
    </w:rPr>
  </w:style>
  <w:style w:type="paragraph" w:styleId="Seznam2">
    <w:name w:val="List 2"/>
    <w:basedOn w:val="Normln"/>
    <w:semiHidden/>
    <w:rsid w:val="00427F13"/>
    <w:pPr>
      <w:tabs>
        <w:tab w:val="num" w:pos="435"/>
      </w:tabs>
      <w:spacing w:before="0"/>
      <w:ind w:left="435" w:hanging="435"/>
      <w:jc w:val="left"/>
    </w:pPr>
    <w:rPr>
      <w:rFonts w:ascii="Microsoft Sans Serif" w:eastAsia="Times New Roman" w:hAnsi="Microsoft Sans Serif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2093F"/>
  </w:style>
  <w:style w:type="character" w:customStyle="1" w:styleId="ZkladntextChar">
    <w:name w:val="Základní text Char"/>
    <w:basedOn w:val="Standardnpsmoodstavce"/>
    <w:link w:val="Zkladntext"/>
    <w:uiPriority w:val="99"/>
    <w:rsid w:val="00C2093F"/>
    <w:rPr>
      <w:rFonts w:ascii="Tahoma" w:hAnsi="Tahoma"/>
      <w:sz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673A0"/>
    <w:pPr>
      <w:spacing w:before="0" w:line="480" w:lineRule="auto"/>
      <w:ind w:firstLine="567"/>
      <w:jc w:val="left"/>
    </w:pPr>
    <w:rPr>
      <w:rFonts w:eastAsia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673A0"/>
    <w:rPr>
      <w:rFonts w:ascii="Tahoma" w:eastAsia="Times New Roman" w:hAnsi="Tahom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00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00A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00A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0A7"/>
    <w:rPr>
      <w:rFonts w:ascii="Tahoma" w:hAnsi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BFBD0-D0DF-4C7E-B8E7-EF7F9015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1329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Kábelka</dc:creator>
  <cp:lastModifiedBy>Suchánková Lenka</cp:lastModifiedBy>
  <cp:revision>4</cp:revision>
  <cp:lastPrinted>2014-04-09T08:26:00Z</cp:lastPrinted>
  <dcterms:created xsi:type="dcterms:W3CDTF">2025-05-28T09:19:00Z</dcterms:created>
  <dcterms:modified xsi:type="dcterms:W3CDTF">2025-05-28T09:20:00Z</dcterms:modified>
</cp:coreProperties>
</file>