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530/2025</w:t>
      </w:r>
    </w:p>
    <w:p>
      <w:pPr>
        <w:pStyle w:val="Style4"/>
        <w:keepNext w:val="0"/>
        <w:keepLines w:val="0"/>
        <w:widowControl w:val="0"/>
        <w:shd w:val="clear" w:color="auto" w:fill="auto"/>
        <w:bidi w:val="0"/>
        <w:spacing w:before="0"/>
        <w:ind w:left="0" w:right="0" w:firstLine="0"/>
        <w:jc w:val="center"/>
        <w:rPr>
          <w:sz w:val="22"/>
          <w:szCs w:val="22"/>
        </w:rPr>
      </w:pPr>
      <w:r>
        <w:rPr>
          <w:color w:val="000000"/>
          <w:spacing w:val="0"/>
          <w:w w:val="100"/>
          <w:position w:val="0"/>
          <w:sz w:val="28"/>
          <w:szCs w:val="28"/>
          <w:shd w:val="clear" w:color="auto" w:fill="auto"/>
          <w:lang w:val="cs-CZ" w:eastAsia="cs-CZ" w:bidi="cs-CZ"/>
        </w:rPr>
        <w:t>o výkonu činnosti koordinátora BOZP při realizaci stavby</w:t>
        <w:br/>
        <w:t>„VD Janov, hráz - konstrukce v komoře uzávěrů“</w:t>
        <w:br/>
      </w:r>
      <w:r>
        <w:rPr>
          <w:b w:val="0"/>
          <w:bCs w:val="0"/>
          <w:color w:val="000000"/>
          <w:spacing w:val="0"/>
          <w:w w:val="100"/>
          <w:position w:val="0"/>
          <w:sz w:val="22"/>
          <w:szCs w:val="22"/>
          <w:shd w:val="clear" w:color="auto" w:fill="auto"/>
          <w:lang w:val="cs-CZ" w:eastAsia="cs-CZ" w:bidi="cs-CZ"/>
        </w:rPr>
        <w:t>uzavřená podle § 1746 odst. 2 ) z. č. 89/2012 Sb. občanský zákoník a § 14 a násl. z. č.</w:t>
        <w:br/>
        <w:t>309/2006 Sb.</w:t>
      </w:r>
    </w:p>
    <w:p>
      <w:pPr>
        <w:pStyle w:val="Style2"/>
        <w:keepNext w:val="0"/>
        <w:keepLines w:val="0"/>
        <w:widowControl w:val="0"/>
        <w:numPr>
          <w:ilvl w:val="0"/>
          <w:numId w:val="1"/>
        </w:numPr>
        <w:shd w:val="clear" w:color="auto" w:fill="auto"/>
        <w:bidi w:val="0"/>
        <w:spacing w:before="0" w:after="0" w:line="240" w:lineRule="auto"/>
        <w:ind w:left="0" w:right="0" w:firstLine="0"/>
        <w:jc w:val="center"/>
      </w:pPr>
      <w:bookmarkStart w:id="0" w:name="bookmark0"/>
      <w:bookmarkEnd w:id="0"/>
      <w:r>
        <w:rPr>
          <w:b/>
          <w:bCs/>
          <w:color w:val="000000"/>
          <w:spacing w:val="0"/>
          <w:w w:val="100"/>
          <w:position w:val="0"/>
          <w:shd w:val="clear" w:color="auto" w:fill="auto"/>
          <w:lang w:val="cs-CZ" w:eastAsia="cs-CZ" w:bidi="cs-CZ"/>
        </w:rPr>
        <w:b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Bezručova 4219, 430 03 Chomutov</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statutární orgán: zastoupen ve věcech smluvních: zástupce ve věcech technických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Jan Rottenberg</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Školní 374, Meziboří 435 13</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odborně způsobilá osoba:</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42140862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tabs>
          <w:tab w:pos="4154" w:val="left"/>
        </w:tabs>
        <w:bidi w:val="0"/>
        <w:spacing w:before="0" w:after="0" w:line="240" w:lineRule="auto"/>
        <w:ind w:left="0" w:right="0" w:firstLine="0"/>
        <w:jc w:val="left"/>
      </w:pPr>
      <w:r>
        <w:rPr>
          <w:color w:val="000000"/>
          <w:spacing w:val="0"/>
          <w:w w:val="100"/>
          <w:position w:val="0"/>
          <w:shd w:val="clear" w:color="auto" w:fill="auto"/>
          <w:lang w:val="cs-CZ" w:eastAsia="cs-CZ" w:bidi="cs-CZ"/>
        </w:rPr>
        <w:t>Plátce DPH:</w:t>
        <w:tab/>
        <w:t>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Fyzická osoba podnikající dle živnostenského zákona nezapsaná v obchodním rejstříku.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Držitel ŽL vydaného Městským úřadem Most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p>
      <w:pPr>
        <w:pStyle w:val="Style2"/>
        <w:keepNext w:val="0"/>
        <w:keepLines w:val="0"/>
        <w:widowControl w:val="0"/>
        <w:shd w:val="clear" w:color="auto" w:fill="auto"/>
        <w:bidi w:val="0"/>
        <w:spacing w:before="0" w:after="0" w:line="240" w:lineRule="auto"/>
        <w:ind w:left="0" w:right="0" w:firstLine="0"/>
        <w:jc w:val="center"/>
      </w:pPr>
      <w:bookmarkStart w:id="1" w:name="bookmark1"/>
      <w:r>
        <w:rPr>
          <w:b/>
          <w:bCs/>
          <w:color w:val="000000"/>
          <w:spacing w:val="0"/>
          <w:w w:val="100"/>
          <w:position w:val="0"/>
          <w:shd w:val="clear" w:color="auto" w:fill="auto"/>
          <w:lang w:val="cs-CZ" w:eastAsia="cs-CZ" w:bidi="cs-CZ"/>
        </w:rPr>
        <w:t>2</w:t>
      </w:r>
      <w:bookmarkEnd w:id="1"/>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Předmět a účel smlouvy</w:t>
      </w:r>
    </w:p>
    <w:p>
      <w:pPr>
        <w:pStyle w:val="Style2"/>
        <w:keepNext w:val="0"/>
        <w:keepLines w:val="0"/>
        <w:widowControl w:val="0"/>
        <w:numPr>
          <w:ilvl w:val="1"/>
          <w:numId w:val="1"/>
        </w:numPr>
        <w:shd w:val="clear" w:color="auto" w:fill="auto"/>
        <w:tabs>
          <w:tab w:pos="565" w:val="left"/>
        </w:tabs>
        <w:bidi w:val="0"/>
        <w:spacing w:before="0" w:after="0" w:line="240" w:lineRule="auto"/>
        <w:ind w:left="0" w:right="0" w:firstLine="0"/>
        <w:jc w:val="left"/>
      </w:pPr>
      <w:bookmarkStart w:id="2" w:name="bookmark2"/>
      <w:bookmarkEnd w:id="2"/>
      <w:r>
        <w:rPr>
          <w:color w:val="000000"/>
          <w:spacing w:val="0"/>
          <w:w w:val="100"/>
          <w:position w:val="0"/>
          <w:shd w:val="clear" w:color="auto" w:fill="auto"/>
          <w:lang w:val="cs-CZ" w:eastAsia="cs-CZ" w:bidi="cs-CZ"/>
        </w:rPr>
        <w:t xml:space="preserve">Objednatel je investorem stavby </w:t>
      </w:r>
      <w:r>
        <w:rPr>
          <w:b/>
          <w:bCs/>
          <w:i/>
          <w:iCs/>
          <w:color w:val="000000"/>
          <w:spacing w:val="0"/>
          <w:w w:val="100"/>
          <w:position w:val="0"/>
          <w:shd w:val="clear" w:color="auto" w:fill="auto"/>
          <w:lang w:val="cs-CZ" w:eastAsia="cs-CZ" w:bidi="cs-CZ"/>
        </w:rPr>
        <w:t>„VD Janov, hráz - konstrukce v komoře uzávěrů“</w:t>
      </w:r>
      <w:r>
        <w:rPr>
          <w:color w:val="000000"/>
          <w:spacing w:val="0"/>
          <w:w w:val="100"/>
          <w:position w:val="0"/>
          <w:shd w:val="clear" w:color="auto" w:fill="auto"/>
          <w:lang w:val="cs-CZ" w:eastAsia="cs-CZ" w:bidi="cs-CZ"/>
        </w:rPr>
        <w:t xml:space="preserve"> (dále</w:t>
      </w:r>
    </w:p>
    <w:p>
      <w:pPr>
        <w:pStyle w:val="Style2"/>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pPr>
        <w:pStyle w:val="Style2"/>
        <w:keepNext w:val="0"/>
        <w:keepLines w:val="0"/>
        <w:widowControl w:val="0"/>
        <w:numPr>
          <w:ilvl w:val="1"/>
          <w:numId w:val="1"/>
        </w:numPr>
        <w:shd w:val="clear" w:color="auto" w:fill="auto"/>
        <w:tabs>
          <w:tab w:pos="706" w:val="left"/>
        </w:tabs>
        <w:bidi w:val="0"/>
        <w:spacing w:before="0" w:line="240" w:lineRule="auto"/>
        <w:ind w:left="740" w:right="0" w:hanging="740"/>
        <w:jc w:val="left"/>
      </w:pPr>
      <w:bookmarkStart w:id="3" w:name="bookmark3"/>
      <w:bookmarkEnd w:id="3"/>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„VD Janov, hráz - konstrukce v komoře uzávěrů“</w:t>
      </w:r>
      <w:r>
        <w:rPr>
          <w:color w:val="000000"/>
          <w:spacing w:val="0"/>
          <w:w w:val="100"/>
          <w:position w:val="0"/>
          <w:shd w:val="clear" w:color="auto" w:fill="auto"/>
          <w:lang w:val="cs-CZ" w:eastAsia="cs-CZ" w:bidi="cs-CZ"/>
        </w:rPr>
        <w:t xml:space="preserve"> v souladu s platnou právní úpravou.</w:t>
      </w:r>
    </w:p>
    <w:p>
      <w:pPr>
        <w:pStyle w:val="Style2"/>
        <w:keepNext w:val="0"/>
        <w:keepLines w:val="0"/>
        <w:widowControl w:val="0"/>
        <w:numPr>
          <w:ilvl w:val="1"/>
          <w:numId w:val="1"/>
        </w:numPr>
        <w:shd w:val="clear" w:color="auto" w:fill="auto"/>
        <w:tabs>
          <w:tab w:pos="706"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Koordinátor prohlašuje, že je odborně způsobilý k zajištění předmětu smlouvy.</w:t>
      </w:r>
    </w:p>
    <w:p>
      <w:pPr>
        <w:pStyle w:val="Style2"/>
        <w:keepNext w:val="0"/>
        <w:keepLines w:val="0"/>
        <w:widowControl w:val="0"/>
        <w:shd w:val="clear" w:color="auto" w:fill="auto"/>
        <w:bidi w:val="0"/>
        <w:spacing w:before="0" w:after="0" w:line="240" w:lineRule="auto"/>
        <w:ind w:left="0" w:right="0" w:firstLine="0"/>
        <w:jc w:val="center"/>
      </w:pPr>
      <w:bookmarkStart w:id="5" w:name="bookmark5"/>
      <w:r>
        <w:rPr>
          <w:b/>
          <w:bCs/>
          <w:color w:val="000000"/>
          <w:spacing w:val="0"/>
          <w:w w:val="100"/>
          <w:position w:val="0"/>
          <w:shd w:val="clear" w:color="auto" w:fill="auto"/>
          <w:lang w:val="cs-CZ" w:eastAsia="cs-CZ" w:bidi="cs-CZ"/>
        </w:rPr>
        <w:t>3</w:t>
      </w:r>
      <w:bookmarkEnd w:id="5"/>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2"/>
        <w:keepNext w:val="0"/>
        <w:keepLines w:val="0"/>
        <w:widowControl w:val="0"/>
        <w:numPr>
          <w:ilvl w:val="1"/>
          <w:numId w:val="1"/>
        </w:numPr>
        <w:shd w:val="clear" w:color="auto" w:fill="auto"/>
        <w:tabs>
          <w:tab w:pos="718" w:val="left"/>
        </w:tabs>
        <w:bidi w:val="0"/>
        <w:spacing w:before="0" w:line="240" w:lineRule="auto"/>
        <w:ind w:left="0" w:right="0" w:firstLine="0"/>
        <w:jc w:val="both"/>
      </w:pPr>
      <w:bookmarkStart w:id="6" w:name="bookmark6"/>
      <w:bookmarkEnd w:id="6"/>
      <w:r>
        <w:rPr>
          <w:color w:val="000000"/>
          <w:spacing w:val="0"/>
          <w:w w:val="100"/>
          <w:position w:val="0"/>
          <w:shd w:val="clear" w:color="auto" w:fill="auto"/>
          <w:lang w:val="cs-CZ" w:eastAsia="cs-CZ" w:bidi="cs-CZ"/>
        </w:rPr>
        <w:t>Koordinátor je povinen:</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7" w:name="bookmark7"/>
      <w:bookmarkEnd w:id="7"/>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2"/>
        <w:keepNext w:val="0"/>
        <w:keepLines w:val="0"/>
        <w:widowControl w:val="0"/>
        <w:numPr>
          <w:ilvl w:val="2"/>
          <w:numId w:val="1"/>
        </w:numPr>
        <w:shd w:val="clear" w:color="auto" w:fill="auto"/>
        <w:tabs>
          <w:tab w:pos="752" w:val="left"/>
        </w:tabs>
        <w:bidi w:val="0"/>
        <w:spacing w:before="0" w:line="240" w:lineRule="auto"/>
        <w:ind w:left="0" w:right="0" w:firstLine="0"/>
        <w:jc w:val="left"/>
      </w:pPr>
      <w:bookmarkStart w:id="8" w:name="bookmark8"/>
      <w:bookmarkEnd w:id="8"/>
      <w:r>
        <w:rPr>
          <w:color w:val="000000"/>
          <w:spacing w:val="0"/>
          <w:w w:val="100"/>
          <w:position w:val="0"/>
          <w:shd w:val="clear" w:color="auto" w:fill="auto"/>
          <w:lang w:val="cs-CZ" w:eastAsia="cs-CZ" w:bidi="cs-CZ"/>
        </w:rPr>
        <w:t>Řídit se pokyny objednatele a jednat v jeho zájmu v souladu s legislativou.</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9" w:name="bookmark9"/>
      <w:bookmarkEnd w:id="9"/>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0" w:name="bookmark10"/>
      <w:bookmarkEnd w:id="10"/>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1" w:name="bookmark11"/>
      <w:bookmarkEnd w:id="11"/>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2" w:name="bookmark12"/>
      <w:bookmarkEnd w:id="12"/>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3" w:name="bookmark13"/>
      <w:bookmarkEnd w:id="13"/>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4" w:name="bookmark14"/>
      <w:bookmarkEnd w:id="14"/>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left"/>
      </w:pPr>
      <w:bookmarkStart w:id="15" w:name="bookmark15"/>
      <w:bookmarkEnd w:id="15"/>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2"/>
        <w:keepNext w:val="0"/>
        <w:keepLines w:val="0"/>
        <w:widowControl w:val="0"/>
        <w:numPr>
          <w:ilvl w:val="2"/>
          <w:numId w:val="1"/>
        </w:numPr>
        <w:shd w:val="clear" w:color="auto" w:fill="auto"/>
        <w:tabs>
          <w:tab w:pos="872" w:val="left"/>
        </w:tabs>
        <w:bidi w:val="0"/>
        <w:spacing w:before="0" w:line="240" w:lineRule="auto"/>
        <w:ind w:left="740" w:right="0" w:hanging="740"/>
        <w:jc w:val="left"/>
      </w:pPr>
      <w:bookmarkStart w:id="16" w:name="bookmark16"/>
      <w:bookmarkEnd w:id="16"/>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2"/>
        <w:keepNext w:val="0"/>
        <w:keepLines w:val="0"/>
        <w:widowControl w:val="0"/>
        <w:numPr>
          <w:ilvl w:val="1"/>
          <w:numId w:val="1"/>
        </w:numPr>
        <w:shd w:val="clear" w:color="auto" w:fill="auto"/>
        <w:tabs>
          <w:tab w:pos="718" w:val="left"/>
        </w:tabs>
        <w:bidi w:val="0"/>
        <w:spacing w:before="0" w:line="240" w:lineRule="auto"/>
        <w:ind w:left="0" w:right="0" w:firstLine="0"/>
        <w:jc w:val="both"/>
      </w:pPr>
      <w:bookmarkStart w:id="17" w:name="bookmark17"/>
      <w:bookmarkEnd w:id="17"/>
      <w:r>
        <w:rPr>
          <w:color w:val="000000"/>
          <w:spacing w:val="0"/>
          <w:w w:val="100"/>
          <w:position w:val="0"/>
          <w:shd w:val="clear" w:color="auto" w:fill="auto"/>
          <w:lang w:val="cs-CZ" w:eastAsia="cs-CZ" w:bidi="cs-CZ"/>
        </w:rPr>
        <w:t>Zpracování plánu BOZP:</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both"/>
      </w:pPr>
      <w:bookmarkStart w:id="18" w:name="bookmark18"/>
      <w:bookmarkEnd w:id="18"/>
      <w:r>
        <w:rPr>
          <w:color w:val="000000"/>
          <w:spacing w:val="0"/>
          <w:w w:val="100"/>
          <w:position w:val="0"/>
          <w:shd w:val="clear" w:color="auto" w:fill="auto"/>
          <w:lang w:val="cs-CZ" w:eastAsia="cs-CZ" w:bidi="cs-CZ"/>
        </w:rPr>
        <w:t>Plán BOZP bude předán koordinátorem v počtu 3 x paré tištěné + 1 x na elektronickém nosiči dat (_word).</w:t>
      </w:r>
    </w:p>
    <w:p>
      <w:pPr>
        <w:pStyle w:val="Style2"/>
        <w:keepNext w:val="0"/>
        <w:keepLines w:val="0"/>
        <w:widowControl w:val="0"/>
        <w:numPr>
          <w:ilvl w:val="2"/>
          <w:numId w:val="1"/>
        </w:numPr>
        <w:shd w:val="clear" w:color="auto" w:fill="auto"/>
        <w:tabs>
          <w:tab w:pos="752" w:val="left"/>
        </w:tabs>
        <w:bidi w:val="0"/>
        <w:spacing w:before="0" w:line="240" w:lineRule="auto"/>
        <w:ind w:left="740" w:right="0" w:hanging="740"/>
        <w:jc w:val="both"/>
      </w:pPr>
      <w:bookmarkStart w:id="19" w:name="bookmark19"/>
      <w:bookmarkEnd w:id="19"/>
      <w:r>
        <w:rPr>
          <w:color w:val="000000"/>
          <w:spacing w:val="0"/>
          <w:w w:val="100"/>
          <w:position w:val="0"/>
          <w:shd w:val="clear" w:color="auto" w:fill="auto"/>
          <w:lang w:val="cs-CZ" w:eastAsia="cs-CZ" w:bidi="cs-CZ"/>
        </w:rPr>
        <w:t>Plán BOZP bude obsahovat kromě náležitostí uvedených v §15 odst. 2 zákona č. 309/2006 Sb. také přehled právních předpisů vztahujících se ke stavbě, informace o 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2"/>
        <w:keepNext w:val="0"/>
        <w:keepLines w:val="0"/>
        <w:widowControl w:val="0"/>
        <w:shd w:val="clear" w:color="auto" w:fill="auto"/>
        <w:bidi w:val="0"/>
        <w:spacing w:before="0" w:after="0" w:line="240" w:lineRule="auto"/>
        <w:ind w:left="0" w:right="0" w:firstLine="0"/>
        <w:jc w:val="center"/>
      </w:pPr>
      <w:bookmarkStart w:id="20" w:name="bookmark20"/>
      <w:r>
        <w:rPr>
          <w:b/>
          <w:bCs/>
          <w:color w:val="000000"/>
          <w:spacing w:val="0"/>
          <w:w w:val="100"/>
          <w:position w:val="0"/>
          <w:shd w:val="clear" w:color="auto" w:fill="auto"/>
          <w:lang w:val="cs-CZ" w:eastAsia="cs-CZ" w:bidi="cs-CZ"/>
        </w:rPr>
        <w:t>4</w:t>
      </w:r>
      <w:bookmarkEnd w:id="20"/>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2"/>
        <w:keepNext w:val="0"/>
        <w:keepLines w:val="0"/>
        <w:widowControl w:val="0"/>
        <w:numPr>
          <w:ilvl w:val="1"/>
          <w:numId w:val="1"/>
        </w:numPr>
        <w:shd w:val="clear" w:color="auto" w:fill="auto"/>
        <w:tabs>
          <w:tab w:pos="718" w:val="left"/>
        </w:tabs>
        <w:bidi w:val="0"/>
        <w:spacing w:before="0" w:line="240" w:lineRule="auto"/>
        <w:ind w:left="740" w:right="0" w:hanging="740"/>
        <w:jc w:val="both"/>
      </w:pPr>
      <w:bookmarkStart w:id="21" w:name="bookmark21"/>
      <w:bookmarkEnd w:id="21"/>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2"/>
        <w:keepNext w:val="0"/>
        <w:keepLines w:val="0"/>
        <w:widowControl w:val="0"/>
        <w:numPr>
          <w:ilvl w:val="1"/>
          <w:numId w:val="1"/>
        </w:numPr>
        <w:shd w:val="clear" w:color="auto" w:fill="auto"/>
        <w:tabs>
          <w:tab w:pos="718" w:val="left"/>
        </w:tabs>
        <w:bidi w:val="0"/>
        <w:spacing w:before="0" w:line="240" w:lineRule="auto"/>
        <w:ind w:left="0" w:right="0" w:firstLine="0"/>
        <w:jc w:val="both"/>
      </w:pPr>
      <w:bookmarkStart w:id="22" w:name="bookmark22"/>
      <w:bookmarkEnd w:id="22"/>
      <w:r>
        <w:rPr>
          <w:color w:val="000000"/>
          <w:spacing w:val="0"/>
          <w:w w:val="100"/>
          <w:position w:val="0"/>
          <w:shd w:val="clear" w:color="auto" w:fill="auto"/>
          <w:lang w:val="cs-CZ" w:eastAsia="cs-CZ" w:bidi="cs-CZ"/>
        </w:rPr>
        <w:t xml:space="preserve">Objednatel se zavazuje, že v rozsahu nezbytně nutném poskytne koordinátorovi pomoc </w:t>
      </w:r>
      <w:r>
        <w:rPr>
          <w:color w:val="000000"/>
          <w:spacing w:val="0"/>
          <w:w w:val="100"/>
          <w:position w:val="0"/>
          <w:shd w:val="clear" w:color="auto" w:fill="auto"/>
          <w:lang w:val="cs-CZ" w:eastAsia="cs-CZ" w:bidi="cs-CZ"/>
        </w:rPr>
        <w:t>při zajištění podkladů, doplňujících údajů, upřesnění vyjádření a stanovisek, jejichž potřeba vznikne v průběhu plnění této smlouvy.</w:t>
      </w:r>
    </w:p>
    <w:p>
      <w:pPr>
        <w:pStyle w:val="Style2"/>
        <w:keepNext w:val="0"/>
        <w:keepLines w:val="0"/>
        <w:widowControl w:val="0"/>
        <w:numPr>
          <w:ilvl w:val="1"/>
          <w:numId w:val="1"/>
        </w:numPr>
        <w:shd w:val="clear" w:color="auto" w:fill="auto"/>
        <w:tabs>
          <w:tab w:pos="704" w:val="left"/>
        </w:tabs>
        <w:bidi w:val="0"/>
        <w:spacing w:before="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Předat koordinátorovi rizika plynoucí z prostředí místa budoucího pracoviště.</w:t>
      </w:r>
    </w:p>
    <w:p>
      <w:pPr>
        <w:pStyle w:val="Style2"/>
        <w:keepNext w:val="0"/>
        <w:keepLines w:val="0"/>
        <w:widowControl w:val="0"/>
        <w:numPr>
          <w:ilvl w:val="1"/>
          <w:numId w:val="1"/>
        </w:numPr>
        <w:shd w:val="clear" w:color="auto" w:fill="auto"/>
        <w:tabs>
          <w:tab w:pos="704" w:val="left"/>
        </w:tabs>
        <w:bidi w:val="0"/>
        <w:spacing w:before="0" w:line="240" w:lineRule="auto"/>
        <w:ind w:left="740" w:right="0" w:hanging="740"/>
        <w:jc w:val="both"/>
      </w:pPr>
      <w:bookmarkStart w:id="24" w:name="bookmark24"/>
      <w:bookmarkEnd w:id="24"/>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2"/>
        <w:keepNext w:val="0"/>
        <w:keepLines w:val="0"/>
        <w:widowControl w:val="0"/>
        <w:numPr>
          <w:ilvl w:val="0"/>
          <w:numId w:val="1"/>
        </w:numPr>
        <w:shd w:val="clear" w:color="auto" w:fill="auto"/>
        <w:bidi w:val="0"/>
        <w:spacing w:before="0" w:after="0" w:line="240" w:lineRule="auto"/>
        <w:ind w:left="0" w:right="0" w:firstLine="0"/>
        <w:jc w:val="center"/>
      </w:pPr>
      <w:bookmarkStart w:id="25" w:name="bookmark25"/>
      <w:bookmarkEnd w:id="25"/>
      <w:r>
        <w:rPr>
          <w:b/>
          <w:bCs/>
          <w:color w:val="000000"/>
          <w:spacing w:val="0"/>
          <w:w w:val="100"/>
          <w:position w:val="0"/>
          <w:shd w:val="clear" w:color="auto" w:fill="auto"/>
          <w:lang w:val="cs-CZ" w:eastAsia="cs-CZ" w:bidi="cs-CZ"/>
        </w:rPr>
        <w:br/>
        <w:t>Doba plnění</w:t>
      </w:r>
    </w:p>
    <w:p>
      <w:pPr>
        <w:pStyle w:val="Style2"/>
        <w:keepNext w:val="0"/>
        <w:keepLines w:val="0"/>
        <w:widowControl w:val="0"/>
        <w:numPr>
          <w:ilvl w:val="0"/>
          <w:numId w:val="3"/>
        </w:numPr>
        <w:shd w:val="clear" w:color="auto" w:fill="auto"/>
        <w:tabs>
          <w:tab w:pos="704" w:val="left"/>
        </w:tabs>
        <w:bidi w:val="0"/>
        <w:spacing w:before="0" w:line="240" w:lineRule="auto"/>
        <w:ind w:left="740" w:right="0" w:hanging="740"/>
        <w:jc w:val="left"/>
      </w:pPr>
      <w:bookmarkStart w:id="26" w:name="bookmark26"/>
      <w:bookmarkEnd w:id="26"/>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2"/>
        <w:keepNext w:val="0"/>
        <w:keepLines w:val="0"/>
        <w:widowControl w:val="0"/>
        <w:numPr>
          <w:ilvl w:val="0"/>
          <w:numId w:val="3"/>
        </w:numPr>
        <w:shd w:val="clear" w:color="auto" w:fill="auto"/>
        <w:tabs>
          <w:tab w:pos="704" w:val="left"/>
        </w:tabs>
        <w:bidi w:val="0"/>
        <w:spacing w:before="0" w:line="240" w:lineRule="auto"/>
        <w:ind w:left="740" w:right="0" w:hanging="740"/>
        <w:jc w:val="left"/>
      </w:pPr>
      <w:bookmarkStart w:id="27" w:name="bookmark27"/>
      <w:bookmarkEnd w:id="27"/>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2"/>
        <w:keepNext w:val="0"/>
        <w:keepLines w:val="0"/>
        <w:widowControl w:val="0"/>
        <w:numPr>
          <w:ilvl w:val="0"/>
          <w:numId w:val="3"/>
        </w:numPr>
        <w:shd w:val="clear" w:color="auto" w:fill="auto"/>
        <w:tabs>
          <w:tab w:pos="704" w:val="left"/>
        </w:tabs>
        <w:bidi w:val="0"/>
        <w:spacing w:before="0" w:line="240" w:lineRule="auto"/>
        <w:ind w:left="740" w:right="0" w:hanging="740"/>
        <w:jc w:val="left"/>
      </w:pPr>
      <w:bookmarkStart w:id="28" w:name="bookmark28"/>
      <w:bookmarkEnd w:id="28"/>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vystavena konečná faktura.</w:t>
      </w:r>
    </w:p>
    <w:p>
      <w:pPr>
        <w:pStyle w:val="Style2"/>
        <w:keepNext w:val="0"/>
        <w:keepLines w:val="0"/>
        <w:widowControl w:val="0"/>
        <w:shd w:val="clear" w:color="auto" w:fill="auto"/>
        <w:bidi w:val="0"/>
        <w:spacing w:before="0" w:after="0" w:line="240" w:lineRule="auto"/>
        <w:ind w:left="0" w:right="0" w:firstLine="0"/>
        <w:jc w:val="center"/>
      </w:pPr>
      <w:bookmarkStart w:id="29" w:name="bookmark29"/>
      <w:r>
        <w:rPr>
          <w:b/>
          <w:bCs/>
          <w:color w:val="000000"/>
          <w:spacing w:val="0"/>
          <w:w w:val="100"/>
          <w:position w:val="0"/>
          <w:shd w:val="clear" w:color="auto" w:fill="auto"/>
          <w:lang w:val="cs-CZ" w:eastAsia="cs-CZ" w:bidi="cs-CZ"/>
        </w:rPr>
        <w:t>6</w:t>
      </w:r>
      <w:bookmarkEnd w:id="29"/>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2"/>
        <w:keepNext w:val="0"/>
        <w:keepLines w:val="0"/>
        <w:widowControl w:val="0"/>
        <w:numPr>
          <w:ilvl w:val="1"/>
          <w:numId w:val="1"/>
        </w:numPr>
        <w:shd w:val="clear" w:color="auto" w:fill="auto"/>
        <w:tabs>
          <w:tab w:pos="704" w:val="left"/>
        </w:tabs>
        <w:bidi w:val="0"/>
        <w:spacing w:before="0" w:line="240" w:lineRule="auto"/>
        <w:ind w:left="740" w:right="0" w:hanging="740"/>
        <w:jc w:val="both"/>
      </w:pPr>
      <w:bookmarkStart w:id="30" w:name="bookmark30"/>
      <w:bookmarkEnd w:id="30"/>
      <w:r>
        <w:rPr>
          <w:color w:val="000000"/>
          <w:spacing w:val="0"/>
          <w:w w:val="100"/>
          <w:position w:val="0"/>
          <w:shd w:val="clear" w:color="auto" w:fill="auto"/>
          <w:lang w:val="cs-CZ" w:eastAsia="cs-CZ" w:bidi="cs-CZ"/>
        </w:rPr>
        <w:t>Cena za vypracování plánu BOZP ve fázi realizace se sjednává ve výši 7500,- Kč. Cena za výkon činnosti koordinátora ve fázi realizace stavby včetně případné aktualizace plánu BOZP se sjednává ve výši 2000,-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2"/>
        <w:keepNext w:val="0"/>
        <w:keepLines w:val="0"/>
        <w:widowControl w:val="0"/>
        <w:shd w:val="clear" w:color="auto" w:fill="auto"/>
        <w:bidi w:val="0"/>
        <w:spacing w:before="0" w:line="240" w:lineRule="auto"/>
        <w:ind w:left="0" w:right="0" w:firstLine="740"/>
        <w:jc w:val="both"/>
      </w:pPr>
      <w:bookmarkStart w:id="31" w:name="bookmark31"/>
      <w:r>
        <w:rPr>
          <w:color w:val="000000"/>
          <w:spacing w:val="0"/>
          <w:w w:val="100"/>
          <w:position w:val="0"/>
          <w:shd w:val="clear" w:color="auto" w:fill="auto"/>
          <w:lang w:val="cs-CZ" w:eastAsia="cs-CZ" w:bidi="cs-CZ"/>
        </w:rPr>
        <w:t>M</w:t>
      </w:r>
      <w:bookmarkEnd w:id="31"/>
      <w:r>
        <w:rPr>
          <w:color w:val="000000"/>
          <w:spacing w:val="0"/>
          <w:w w:val="100"/>
          <w:position w:val="0"/>
          <w:shd w:val="clear" w:color="auto" w:fill="auto"/>
          <w:lang w:val="cs-CZ" w:eastAsia="cs-CZ" w:bidi="cs-CZ"/>
        </w:rPr>
        <w:t>aximální cena činí: 51 500,- Kč.</w:t>
      </w:r>
    </w:p>
    <w:p>
      <w:pPr>
        <w:pStyle w:val="Style2"/>
        <w:keepNext w:val="0"/>
        <w:keepLines w:val="0"/>
        <w:widowControl w:val="0"/>
        <w:numPr>
          <w:ilvl w:val="1"/>
          <w:numId w:val="1"/>
        </w:numPr>
        <w:shd w:val="clear" w:color="auto" w:fill="auto"/>
        <w:tabs>
          <w:tab w:pos="704" w:val="left"/>
        </w:tabs>
        <w:bidi w:val="0"/>
        <w:spacing w:before="0" w:line="240" w:lineRule="auto"/>
        <w:ind w:left="740" w:right="0" w:hanging="740"/>
        <w:jc w:val="both"/>
      </w:pPr>
      <w:bookmarkStart w:id="32" w:name="bookmark32"/>
      <w:bookmarkEnd w:id="32"/>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2"/>
        <w:keepNext w:val="0"/>
        <w:keepLines w:val="0"/>
        <w:widowControl w:val="0"/>
        <w:numPr>
          <w:ilvl w:val="0"/>
          <w:numId w:val="5"/>
        </w:numPr>
        <w:shd w:val="clear" w:color="auto" w:fill="auto"/>
        <w:tabs>
          <w:tab w:pos="704" w:val="left"/>
        </w:tabs>
        <w:bidi w:val="0"/>
        <w:spacing w:before="0" w:line="240" w:lineRule="auto"/>
        <w:ind w:left="740" w:right="0" w:hanging="740"/>
        <w:jc w:val="both"/>
      </w:pPr>
      <w:bookmarkStart w:id="33" w:name="bookmark33"/>
      <w:bookmarkEnd w:id="33"/>
      <w:r>
        <w:rPr>
          <w:color w:val="000000"/>
          <w:spacing w:val="0"/>
          <w:w w:val="100"/>
          <w:position w:val="0"/>
          <w:shd w:val="clear" w:color="auto" w:fill="auto"/>
          <w:lang w:val="cs-CZ" w:eastAsia="cs-CZ" w:bidi="cs-CZ"/>
        </w:rPr>
        <w:t>Cena za výkon činnosti koordinátora včetně aktualizace plánu BOZP bude fakturována dle skutečného rozsahu prací (počtu týdnů) odsouhlasených zástupcem objednatele – technickým dozorem investora. Cena za zpracování plánu BOZP bude fakturována na základě předávacího protokolu potvrzeného zástupcem objednatele. Předávací protokoly musí být přiloženy k vystavené faktuře.</w:t>
      </w:r>
    </w:p>
    <w:p>
      <w:pPr>
        <w:pStyle w:val="Style2"/>
        <w:keepNext w:val="0"/>
        <w:keepLines w:val="0"/>
        <w:widowControl w:val="0"/>
        <w:numPr>
          <w:ilvl w:val="0"/>
          <w:numId w:val="5"/>
        </w:numPr>
        <w:shd w:val="clear" w:color="auto" w:fill="auto"/>
        <w:tabs>
          <w:tab w:pos="704" w:val="left"/>
        </w:tabs>
        <w:bidi w:val="0"/>
        <w:spacing w:before="0" w:line="240" w:lineRule="auto"/>
        <w:ind w:left="740" w:right="0" w:hanging="740"/>
        <w:jc w:val="both"/>
      </w:pPr>
      <w:bookmarkStart w:id="34" w:name="bookmark34"/>
      <w:bookmarkEnd w:id="34"/>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2"/>
        <w:keepNext w:val="0"/>
        <w:keepLines w:val="0"/>
        <w:widowControl w:val="0"/>
        <w:numPr>
          <w:ilvl w:val="0"/>
          <w:numId w:val="5"/>
        </w:numPr>
        <w:shd w:val="clear" w:color="auto" w:fill="auto"/>
        <w:tabs>
          <w:tab w:pos="704"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2"/>
        <w:keepNext w:val="0"/>
        <w:keepLines w:val="0"/>
        <w:widowControl w:val="0"/>
        <w:numPr>
          <w:ilvl w:val="0"/>
          <w:numId w:val="5"/>
        </w:numPr>
        <w:shd w:val="clear" w:color="auto" w:fill="auto"/>
        <w:tabs>
          <w:tab w:pos="704" w:val="left"/>
        </w:tabs>
        <w:bidi w:val="0"/>
        <w:spacing w:before="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Faktury musí obsahovat všechny náležitosti dle platných zákonných předpisů.</w:t>
      </w:r>
    </w:p>
    <w:p>
      <w:pPr>
        <w:pStyle w:val="Style2"/>
        <w:keepNext w:val="0"/>
        <w:keepLines w:val="0"/>
        <w:widowControl w:val="0"/>
        <w:numPr>
          <w:ilvl w:val="0"/>
          <w:numId w:val="5"/>
        </w:numPr>
        <w:shd w:val="clear" w:color="auto" w:fill="auto"/>
        <w:tabs>
          <w:tab w:pos="704" w:val="left"/>
        </w:tabs>
        <w:bidi w:val="0"/>
        <w:spacing w:before="0" w:line="240" w:lineRule="auto"/>
        <w:ind w:left="740" w:right="0" w:hanging="740"/>
        <w:jc w:val="both"/>
      </w:pPr>
      <w:bookmarkStart w:id="37" w:name="bookmark37"/>
      <w:bookmarkEnd w:id="37"/>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8.</w:t>
        <w:br/>
        <w:t>Odpovědnost za škodu</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both"/>
      </w:pPr>
      <w:bookmarkStart w:id="38" w:name="bookmark38"/>
      <w:bookmarkEnd w:id="38"/>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both"/>
      </w:pPr>
      <w:bookmarkStart w:id="39" w:name="bookmark39"/>
      <w:bookmarkEnd w:id="39"/>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both"/>
      </w:pPr>
      <w:bookmarkStart w:id="40" w:name="bookmark40"/>
      <w:bookmarkEnd w:id="40"/>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both"/>
      </w:pPr>
      <w:bookmarkStart w:id="41" w:name="bookmark41"/>
      <w:bookmarkEnd w:id="41"/>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left"/>
      </w:pPr>
      <w:bookmarkStart w:id="42" w:name="bookmark42"/>
      <w:bookmarkEnd w:id="42"/>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left"/>
      </w:pPr>
      <w:bookmarkStart w:id="43" w:name="bookmark43"/>
      <w:bookmarkEnd w:id="43"/>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2"/>
        <w:keepNext w:val="0"/>
        <w:keepLines w:val="0"/>
        <w:widowControl w:val="0"/>
        <w:numPr>
          <w:ilvl w:val="0"/>
          <w:numId w:val="7"/>
        </w:numPr>
        <w:shd w:val="clear" w:color="auto" w:fill="auto"/>
        <w:tabs>
          <w:tab w:pos="702" w:val="left"/>
        </w:tabs>
        <w:bidi w:val="0"/>
        <w:spacing w:before="0" w:line="240" w:lineRule="auto"/>
        <w:ind w:left="740" w:right="0" w:hanging="740"/>
        <w:jc w:val="left"/>
      </w:pPr>
      <w:bookmarkStart w:id="44" w:name="bookmark44"/>
      <w:bookmarkEnd w:id="44"/>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2"/>
        <w:keepNext w:val="0"/>
        <w:keepLines w:val="0"/>
        <w:widowControl w:val="0"/>
        <w:numPr>
          <w:ilvl w:val="0"/>
          <w:numId w:val="7"/>
        </w:numPr>
        <w:shd w:val="clear" w:color="auto" w:fill="auto"/>
        <w:tabs>
          <w:tab w:pos="702" w:val="left"/>
        </w:tabs>
        <w:bidi w:val="0"/>
        <w:spacing w:before="0" w:after="640" w:line="240" w:lineRule="auto"/>
        <w:ind w:left="740" w:right="0" w:hanging="740"/>
        <w:jc w:val="left"/>
      </w:pPr>
      <w:bookmarkStart w:id="45" w:name="bookmark45"/>
      <w:bookmarkEnd w:id="45"/>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2"/>
        <w:keepNext w:val="0"/>
        <w:keepLines w:val="0"/>
        <w:widowControl w:val="0"/>
        <w:shd w:val="clear" w:color="auto" w:fill="auto"/>
        <w:bidi w:val="0"/>
        <w:spacing w:before="0" w:line="240" w:lineRule="auto"/>
        <w:ind w:left="0" w:right="0" w:firstLine="0"/>
        <w:jc w:val="center"/>
      </w:pPr>
      <w:bookmarkStart w:id="46" w:name="bookmark46"/>
      <w:r>
        <w:rPr>
          <w:b/>
          <w:bCs/>
          <w:color w:val="000000"/>
          <w:spacing w:val="0"/>
          <w:w w:val="100"/>
          <w:position w:val="0"/>
          <w:shd w:val="clear" w:color="auto" w:fill="auto"/>
          <w:lang w:val="cs-CZ" w:eastAsia="cs-CZ" w:bidi="cs-CZ"/>
        </w:rPr>
        <w:t>1</w:t>
      </w:r>
      <w:bookmarkEnd w:id="46"/>
      <w:r>
        <w:rPr>
          <w:b/>
          <w:bCs/>
          <w:color w:val="000000"/>
          <w:spacing w:val="0"/>
          <w:w w:val="100"/>
          <w:position w:val="0"/>
          <w:shd w:val="clear" w:color="auto" w:fill="auto"/>
          <w:lang w:val="cs-CZ" w:eastAsia="cs-CZ" w:bidi="cs-CZ"/>
        </w:rPr>
        <w:t>0.</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Ukončení smlouvy</w:t>
      </w:r>
    </w:p>
    <w:p>
      <w:pPr>
        <w:pStyle w:val="Style2"/>
        <w:keepNext w:val="0"/>
        <w:keepLines w:val="0"/>
        <w:widowControl w:val="0"/>
        <w:numPr>
          <w:ilvl w:val="1"/>
          <w:numId w:val="9"/>
        </w:numPr>
        <w:shd w:val="clear" w:color="auto" w:fill="auto"/>
        <w:tabs>
          <w:tab w:pos="702" w:val="left"/>
        </w:tabs>
        <w:bidi w:val="0"/>
        <w:spacing w:before="0" w:line="240" w:lineRule="auto"/>
        <w:ind w:left="0" w:right="0" w:firstLine="0"/>
        <w:jc w:val="left"/>
      </w:pPr>
      <w:bookmarkStart w:id="47" w:name="bookmark47"/>
      <w:bookmarkEnd w:id="47"/>
      <w:r>
        <w:rPr>
          <w:color w:val="000000"/>
          <w:spacing w:val="0"/>
          <w:w w:val="100"/>
          <w:position w:val="0"/>
          <w:shd w:val="clear" w:color="auto" w:fill="auto"/>
          <w:lang w:val="cs-CZ" w:eastAsia="cs-CZ" w:bidi="cs-CZ"/>
        </w:rPr>
        <w:t>Smluvní vztah je možno ukončit písemnou dohodou smluvních stran.</w:t>
      </w:r>
    </w:p>
    <w:p>
      <w:pPr>
        <w:pStyle w:val="Style2"/>
        <w:keepNext w:val="0"/>
        <w:keepLines w:val="0"/>
        <w:widowControl w:val="0"/>
        <w:numPr>
          <w:ilvl w:val="1"/>
          <w:numId w:val="9"/>
        </w:numPr>
        <w:shd w:val="clear" w:color="auto" w:fill="auto"/>
        <w:tabs>
          <w:tab w:pos="702" w:val="left"/>
        </w:tabs>
        <w:bidi w:val="0"/>
        <w:spacing w:before="0" w:line="240" w:lineRule="auto"/>
        <w:ind w:left="740" w:right="0" w:hanging="740"/>
        <w:jc w:val="both"/>
      </w:pPr>
      <w:bookmarkStart w:id="48" w:name="bookmark48"/>
      <w:bookmarkEnd w:id="48"/>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2"/>
        <w:keepNext w:val="0"/>
        <w:keepLines w:val="0"/>
        <w:widowControl w:val="0"/>
        <w:numPr>
          <w:ilvl w:val="1"/>
          <w:numId w:val="9"/>
        </w:numPr>
        <w:shd w:val="clear" w:color="auto" w:fill="auto"/>
        <w:tabs>
          <w:tab w:pos="702" w:val="left"/>
        </w:tabs>
        <w:bidi w:val="0"/>
        <w:spacing w:before="0" w:line="240" w:lineRule="auto"/>
        <w:ind w:left="740" w:right="0" w:hanging="740"/>
        <w:jc w:val="both"/>
      </w:pPr>
      <w:bookmarkStart w:id="49" w:name="bookmark49"/>
      <w:bookmarkEnd w:id="49"/>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2"/>
        <w:keepNext w:val="0"/>
        <w:keepLines w:val="0"/>
        <w:widowControl w:val="0"/>
        <w:shd w:val="clear" w:color="auto" w:fill="auto"/>
        <w:bidi w:val="0"/>
        <w:spacing w:before="0" w:after="0" w:line="240" w:lineRule="auto"/>
        <w:ind w:left="0" w:right="0" w:firstLine="0"/>
        <w:jc w:val="center"/>
      </w:pPr>
      <w:bookmarkStart w:id="50" w:name="bookmark50"/>
      <w:r>
        <w:rPr>
          <w:b/>
          <w:bCs/>
          <w:color w:val="000000"/>
          <w:spacing w:val="0"/>
          <w:w w:val="100"/>
          <w:position w:val="0"/>
          <w:shd w:val="clear" w:color="auto" w:fill="auto"/>
          <w:lang w:val="cs-CZ" w:eastAsia="cs-CZ" w:bidi="cs-CZ"/>
        </w:rPr>
        <w:t>1</w:t>
      </w:r>
      <w:bookmarkEnd w:id="50"/>
      <w:r>
        <w:rPr>
          <w:b/>
          <w:bCs/>
          <w:color w:val="000000"/>
          <w:spacing w:val="0"/>
          <w:w w:val="100"/>
          <w:position w:val="0"/>
          <w:shd w:val="clear" w:color="auto" w:fill="auto"/>
          <w:lang w:val="cs-CZ" w:eastAsia="cs-CZ" w:bidi="cs-CZ"/>
        </w:rPr>
        <w:t>1.</w:t>
      </w:r>
    </w:p>
    <w:p>
      <w:pPr>
        <w:pStyle w:val="Style14"/>
        <w:keepNext/>
        <w:keepLines/>
        <w:widowControl w:val="0"/>
        <w:shd w:val="clear" w:color="auto" w:fill="auto"/>
        <w:bidi w:val="0"/>
        <w:spacing w:before="0" w:after="0" w:line="240" w:lineRule="auto"/>
        <w:ind w:left="0" w:right="0" w:firstLine="0"/>
        <w:jc w:val="center"/>
      </w:pPr>
      <w:bookmarkStart w:id="51" w:name="bookmark51"/>
      <w:bookmarkStart w:id="52" w:name="bookmark52"/>
      <w:bookmarkStart w:id="53" w:name="bookmark53"/>
      <w:r>
        <w:rPr>
          <w:color w:val="000000"/>
          <w:spacing w:val="0"/>
          <w:w w:val="100"/>
          <w:position w:val="0"/>
          <w:shd w:val="clear" w:color="auto" w:fill="auto"/>
          <w:lang w:val="cs-CZ" w:eastAsia="cs-CZ" w:bidi="cs-CZ"/>
        </w:rPr>
        <w:t>Compliance doložka</w:t>
      </w:r>
      <w:bookmarkEnd w:id="51"/>
      <w:bookmarkEnd w:id="52"/>
      <w:bookmarkEnd w:id="53"/>
    </w:p>
    <w:p>
      <w:pPr>
        <w:pStyle w:val="Style2"/>
        <w:keepNext w:val="0"/>
        <w:keepLines w:val="0"/>
        <w:widowControl w:val="0"/>
        <w:numPr>
          <w:ilvl w:val="1"/>
          <w:numId w:val="9"/>
        </w:numPr>
        <w:shd w:val="clear" w:color="auto" w:fill="auto"/>
        <w:tabs>
          <w:tab w:pos="702" w:val="left"/>
        </w:tabs>
        <w:bidi w:val="0"/>
        <w:spacing w:before="0" w:line="240" w:lineRule="auto"/>
        <w:ind w:left="740" w:right="0" w:hanging="740"/>
        <w:jc w:val="both"/>
      </w:pPr>
      <w:bookmarkStart w:id="54" w:name="bookmark54"/>
      <w:bookmarkEnd w:id="54"/>
      <w:r>
        <w:rPr>
          <w:color w:val="000000"/>
          <w:spacing w:val="0"/>
          <w:w w:val="100"/>
          <w:position w:val="0"/>
          <w:shd w:val="clear" w:color="auto" w:fill="auto"/>
          <w:lang w:val="cs-CZ" w:eastAsia="cs-CZ" w:bidi="cs-CZ"/>
        </w:rPr>
        <w:t xml:space="preserve">Smluvní strany níže svým podpisem stvrzují, že v průběhu vyjednávání o této Smlouvě vždy jednaly a postupovaly čestně a transparentně, a současně se zavazují, že takto </w:t>
      </w:r>
      <w:r>
        <w:rPr>
          <w:color w:val="000000"/>
          <w:spacing w:val="0"/>
          <w:w w:val="100"/>
          <w:position w:val="0"/>
          <w:shd w:val="clear" w:color="auto" w:fill="auto"/>
          <w:lang w:val="cs-CZ" w:eastAsia="cs-CZ" w:bidi="cs-CZ"/>
        </w:rPr>
        <w:t>budou jednat i při plnění této Smlouvy a veškerých činností s ní souvisejících.</w:t>
      </w:r>
    </w:p>
    <w:p>
      <w:pPr>
        <w:pStyle w:val="Style2"/>
        <w:keepNext w:val="0"/>
        <w:keepLines w:val="0"/>
        <w:widowControl w:val="0"/>
        <w:numPr>
          <w:ilvl w:val="1"/>
          <w:numId w:val="9"/>
        </w:numPr>
        <w:shd w:val="clear" w:color="auto" w:fill="auto"/>
        <w:tabs>
          <w:tab w:pos="706" w:val="left"/>
        </w:tabs>
        <w:bidi w:val="0"/>
        <w:spacing w:before="0" w:line="240" w:lineRule="auto"/>
        <w:ind w:left="740" w:right="0" w:hanging="740"/>
        <w:jc w:val="both"/>
      </w:pPr>
      <w:bookmarkStart w:id="55" w:name="bookmark55"/>
      <w:bookmarkEnd w:id="5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1"/>
          <w:numId w:val="9"/>
        </w:numPr>
        <w:shd w:val="clear" w:color="auto" w:fill="auto"/>
        <w:tabs>
          <w:tab w:pos="706" w:val="left"/>
          <w:tab w:pos="3586" w:val="left"/>
          <w:tab w:pos="6187" w:val="left"/>
          <w:tab w:pos="8664" w:val="left"/>
        </w:tabs>
        <w:bidi w:val="0"/>
        <w:spacing w:before="0" w:after="0" w:line="240" w:lineRule="auto"/>
        <w:ind w:left="740" w:right="0" w:hanging="740"/>
        <w:jc w:val="both"/>
      </w:pPr>
      <w:bookmarkStart w:id="56" w:name="bookmark56"/>
      <w:bookmarkEnd w:id="56"/>
      <w:r>
        <w:rPr>
          <w:color w:val="000000"/>
          <w:spacing w:val="0"/>
          <w:w w:val="100"/>
          <w:position w:val="0"/>
          <w:shd w:val="clear" w:color="auto" w:fill="auto"/>
          <w:lang w:val="cs-CZ" w:eastAsia="cs-CZ" w:bidi="cs-CZ"/>
        </w:rPr>
        <w:t>Koordinátor prohlašuje, že se seznámil se zásadami, hodnotami a cíli Compliance programu</w:t>
        <w:tab/>
        <w:t>Povodí</w:t>
        <w:tab/>
        <w:t>Ohře,</w:t>
        <w:tab/>
        <w:t>s.p.(viz</w:t>
      </w:r>
    </w:p>
    <w:p>
      <w:pPr>
        <w:pStyle w:val="Style2"/>
        <w:keepNext w:val="0"/>
        <w:keepLines w:val="0"/>
        <w:widowControl w:val="0"/>
        <w:shd w:val="clear" w:color="auto" w:fill="auto"/>
        <w:bidi w:val="0"/>
        <w:spacing w:before="0" w:line="240" w:lineRule="auto"/>
        <w:ind w:left="74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2"/>
        <w:keepNext w:val="0"/>
        <w:keepLines w:val="0"/>
        <w:widowControl w:val="0"/>
        <w:numPr>
          <w:ilvl w:val="1"/>
          <w:numId w:val="9"/>
        </w:numPr>
        <w:shd w:val="clear" w:color="auto" w:fill="auto"/>
        <w:tabs>
          <w:tab w:pos="706" w:val="left"/>
        </w:tabs>
        <w:bidi w:val="0"/>
        <w:spacing w:before="0" w:line="240" w:lineRule="auto"/>
        <w:ind w:left="740" w:right="0" w:hanging="740"/>
        <w:jc w:val="both"/>
      </w:pPr>
      <w:bookmarkStart w:id="57" w:name="bookmark57"/>
      <w:bookmarkEnd w:id="5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11"/>
        </w:numPr>
        <w:shd w:val="clear" w:color="auto" w:fill="auto"/>
        <w:tabs>
          <w:tab w:pos="706" w:val="left"/>
        </w:tabs>
        <w:bidi w:val="0"/>
        <w:spacing w:before="0" w:line="240" w:lineRule="auto"/>
        <w:ind w:left="0" w:right="0" w:firstLine="0"/>
        <w:jc w:val="both"/>
      </w:pPr>
      <w:bookmarkStart w:id="58" w:name="bookmark58"/>
      <w:bookmarkEnd w:id="58"/>
      <w:r>
        <w:rPr>
          <w:color w:val="000000"/>
          <w:spacing w:val="0"/>
          <w:w w:val="100"/>
          <w:position w:val="0"/>
          <w:shd w:val="clear" w:color="auto" w:fill="auto"/>
          <w:lang w:val="cs-CZ" w:eastAsia="cs-CZ" w:bidi="cs-CZ"/>
        </w:rPr>
        <w:t>Ve věcech touto smlouvou neupravených se smluvní vztah řídí občanským zákoníkem.</w:t>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59" w:name="bookmark59"/>
      <w:bookmarkEnd w:id="59"/>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60" w:name="bookmark60"/>
      <w:bookmarkEnd w:id="60"/>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61" w:name="bookmark61"/>
      <w:bookmarkEnd w:id="6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62" w:name="bookmark62"/>
      <w:bookmarkEnd w:id="62"/>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63" w:name="bookmark63"/>
      <w:bookmarkEnd w:id="6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11"/>
        </w:numPr>
        <w:shd w:val="clear" w:color="auto" w:fill="auto"/>
        <w:tabs>
          <w:tab w:pos="706" w:val="left"/>
        </w:tabs>
        <w:bidi w:val="0"/>
        <w:spacing w:before="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1"/>
        </w:numPr>
        <w:shd w:val="clear" w:color="auto" w:fill="auto"/>
        <w:tabs>
          <w:tab w:pos="706" w:val="left"/>
        </w:tabs>
        <w:bidi w:val="0"/>
        <w:spacing w:before="0" w:line="240" w:lineRule="auto"/>
        <w:ind w:left="740" w:right="0" w:hanging="740"/>
        <w:jc w:val="left"/>
      </w:pPr>
      <w:bookmarkStart w:id="65" w:name="bookmark65"/>
      <w:bookmarkEnd w:id="65"/>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w:t>
        <w:br w:type="page"/>
      </w:r>
      <w:r>
        <w:rPr>
          <w:color w:val="000000"/>
          <w:spacing w:val="0"/>
          <w:w w:val="100"/>
          <w:position w:val="0"/>
          <w:shd w:val="clear" w:color="auto" w:fill="auto"/>
          <w:lang w:val="cs-CZ" w:eastAsia="cs-CZ" w:bidi="cs-CZ"/>
        </w:rPr>
        <w:t>srozumitelně, nikoliv v tísni za nápadně nevýhodných podmínek, a že se dohodly o celém jejím obsahu, což stvrzují svými podpisy.</w:t>
      </w:r>
    </w:p>
    <w:p>
      <w:pPr>
        <w:pStyle w:val="Style2"/>
        <w:keepNext w:val="0"/>
        <w:keepLines w:val="0"/>
        <w:widowControl w:val="0"/>
        <w:numPr>
          <w:ilvl w:val="0"/>
          <w:numId w:val="11"/>
        </w:numPr>
        <w:shd w:val="clear" w:color="auto" w:fill="auto"/>
        <w:tabs>
          <w:tab w:pos="715" w:val="left"/>
        </w:tabs>
        <w:bidi w:val="0"/>
        <w:spacing w:before="0" w:line="240" w:lineRule="auto"/>
        <w:ind w:left="740" w:right="0" w:hanging="740"/>
        <w:jc w:val="left"/>
      </w:pPr>
      <w:bookmarkStart w:id="66" w:name="bookmark66"/>
      <w:bookmarkEnd w:id="66"/>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11"/>
        </w:numPr>
        <w:shd w:val="clear" w:color="auto" w:fill="auto"/>
        <w:tabs>
          <w:tab w:pos="814" w:val="left"/>
        </w:tabs>
        <w:bidi w:val="0"/>
        <w:spacing w:before="0" w:line="240" w:lineRule="auto"/>
        <w:ind w:left="740" w:right="0" w:hanging="740"/>
        <w:jc w:val="left"/>
      </w:pPr>
      <w:bookmarkStart w:id="67" w:name="bookmark67"/>
      <w:bookmarkEnd w:id="67"/>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1"/>
        </w:numPr>
        <w:shd w:val="clear" w:color="auto" w:fill="auto"/>
        <w:tabs>
          <w:tab w:pos="814" w:val="left"/>
        </w:tabs>
        <w:bidi w:val="0"/>
        <w:spacing w:before="0" w:line="240" w:lineRule="auto"/>
        <w:ind w:left="740" w:right="0" w:hanging="740"/>
        <w:jc w:val="left"/>
      </w:pPr>
      <w:bookmarkStart w:id="68" w:name="bookmark68"/>
      <w:bookmarkEnd w:id="68"/>
      <w:r>
        <w:rPr>
          <w:color w:val="000000"/>
          <w:spacing w:val="0"/>
          <w:w w:val="100"/>
          <w:position w:val="0"/>
          <w:shd w:val="clear" w:color="auto" w:fill="auto"/>
          <w:lang w:val="cs-CZ" w:eastAsia="cs-CZ" w:bidi="cs-CZ"/>
        </w:rPr>
        <w:t>Smlouva je vyhotovena ve dvou stejnopisech s platností originálu, přičemž jedno vyhotovení je určeno pro objednatele a jedno pro koordinátora.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za objednatele </w:t>
      </w: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p>
      <w:pPr>
        <w:pStyle w:val="Style2"/>
        <w:keepNext w:val="0"/>
        <w:keepLines w:val="0"/>
        <w:widowControl w:val="0"/>
        <w:shd w:val="clear" w:color="auto" w:fill="auto"/>
        <w:bidi w:val="0"/>
        <w:spacing w:before="0" w:line="240" w:lineRule="auto"/>
        <w:ind w:left="0" w:right="0" w:firstLine="0"/>
        <w:jc w:val="left"/>
      </w:pPr>
      <w:r>
        <mc:AlternateContent>
          <mc:Choice Requires="wps">
            <w:drawing>
              <wp:anchor distT="0" distB="1210310" distL="114300" distR="1285240" simplePos="0" relativeHeight="125829378" behindDoc="0" locked="0" layoutInCell="1" allowOverlap="1">
                <wp:simplePos x="0" y="0"/>
                <wp:positionH relativeFrom="page">
                  <wp:posOffset>4345305</wp:posOffset>
                </wp:positionH>
                <wp:positionV relativeFrom="margin">
                  <wp:posOffset>2444750</wp:posOffset>
                </wp:positionV>
                <wp:extent cx="999490" cy="225425"/>
                <wp:wrapSquare wrapText="left"/>
                <wp:docPr id="1" name="Shape 1"/>
                <a:graphic xmlns:a="http://schemas.openxmlformats.org/drawingml/2006/main">
                  <a:graphicData uri="http://schemas.microsoft.com/office/word/2010/wordprocessingShape">
                    <wps:wsp>
                      <wps:cNvSpPr txBox="1"/>
                      <wps:spPr>
                        <a:xfrm>
                          <a:ext cx="99949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koordinátora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2.15000000000003pt;margin-top:192.5pt;width:78.700000000000003pt;height:17.75pt;z-index:-125829375;mso-wrap-distance-left:9.pt;mso-wrap-distance-right:101.2pt;mso-wrap-distance-bottom:95.29999999999999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koordinátora</w:t>
                      </w:r>
                    </w:p>
                  </w:txbxContent>
                </v:textbox>
                <w10:wrap type="square" side="left" anchorx="page" anchory="margin"/>
              </v:shape>
            </w:pict>
          </mc:Fallback>
        </mc:AlternateContent>
      </w:r>
      <w:r>
        <mc:AlternateContent>
          <mc:Choice Requires="wps">
            <w:drawing>
              <wp:anchor distT="603250" distB="607060" distL="114300" distR="114300" simplePos="0" relativeHeight="125829380" behindDoc="0" locked="0" layoutInCell="1" allowOverlap="1">
                <wp:simplePos x="0" y="0"/>
                <wp:positionH relativeFrom="page">
                  <wp:posOffset>4345305</wp:posOffset>
                </wp:positionH>
                <wp:positionV relativeFrom="margin">
                  <wp:posOffset>3048000</wp:posOffset>
                </wp:positionV>
                <wp:extent cx="2170430" cy="225425"/>
                <wp:wrapSquare wrapText="left"/>
                <wp:docPr id="3" name="Shape 3"/>
                <a:graphic xmlns:a="http://schemas.openxmlformats.org/drawingml/2006/main">
                  <a:graphicData uri="http://schemas.microsoft.com/office/word/2010/wordprocessingShape">
                    <wps:wsp>
                      <wps:cNvSpPr txBox="1"/>
                      <wps:spPr>
                        <a:xfrm>
                          <a:ext cx="217043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29" type="#_x0000_t202" style="position:absolute;margin-left:342.15000000000003pt;margin-top:240.pt;width:170.90000000000001pt;height:17.75pt;z-index:-125829373;mso-wrap-distance-left:9.pt;mso-wrap-distance-top:47.5pt;mso-wrap-distance-right:9.pt;mso-wrap-distance-bottom:47.800000000000004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v:textbox>
                <w10:wrap type="square" side="left" anchorx="page" anchory="margin"/>
              </v:shape>
            </w:pict>
          </mc:Fallback>
        </mc:AlternateContent>
      </w:r>
      <w:r>
        <mc:AlternateContent>
          <mc:Choice Requires="wps">
            <w:drawing>
              <wp:anchor distT="1210310" distB="0" distL="114300" distR="1248410" simplePos="0" relativeHeight="125829382" behindDoc="0" locked="0" layoutInCell="1" allowOverlap="1">
                <wp:simplePos x="0" y="0"/>
                <wp:positionH relativeFrom="page">
                  <wp:posOffset>4345305</wp:posOffset>
                </wp:positionH>
                <wp:positionV relativeFrom="margin">
                  <wp:posOffset>3655060</wp:posOffset>
                </wp:positionV>
                <wp:extent cx="1036320" cy="225425"/>
                <wp:wrapSquare wrapText="left"/>
                <wp:docPr id="5" name="Shape 5"/>
                <a:graphic xmlns:a="http://schemas.openxmlformats.org/drawingml/2006/main">
                  <a:graphicData uri="http://schemas.microsoft.com/office/word/2010/wordprocessingShape">
                    <wps:wsp>
                      <wps:cNvSpPr txBox="1"/>
                      <wps:spPr>
                        <a:xfrm>
                          <a:ext cx="103632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txbxContent>
                      </wps:txbx>
                      <wps:bodyPr wrap="none" lIns="0" tIns="0" rIns="0" bIns="0">
                        <a:noAutoFit/>
                      </wps:bodyPr>
                    </wps:wsp>
                  </a:graphicData>
                </a:graphic>
              </wp:anchor>
            </w:drawing>
          </mc:Choice>
          <mc:Fallback>
            <w:pict>
              <v:shape id="_x0000_s1031" type="#_x0000_t202" style="position:absolute;margin-left:342.15000000000003pt;margin-top:287.80000000000001pt;width:81.600000000000009pt;height:17.75pt;z-index:-125829371;mso-wrap-distance-left:9.pt;mso-wrap-distance-top:95.299999999999997pt;mso-wrap-distance-right:98.29999999999999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V Meziboří dne</w:t>
      </w:r>
    </w:p>
    <w:sectPr>
      <w:headerReference w:type="default" r:id="rId5"/>
      <w:footerReference w:type="default" r:id="rId6"/>
      <w:footnotePr>
        <w:pos w:val="pageBottom"/>
        <w:numFmt w:val="decimal"/>
        <w:numRestart w:val="continuous"/>
      </w:footnotePr>
      <w:pgSz w:w="11909" w:h="16838"/>
      <w:pgMar w:top="1291" w:left="1364" w:right="1074" w:bottom="143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6687820</wp:posOffset>
              </wp:positionH>
              <wp:positionV relativeFrom="page">
                <wp:posOffset>9957435</wp:posOffset>
              </wp:positionV>
              <wp:extent cx="158750" cy="155575"/>
              <wp:wrapNone/>
              <wp:docPr id="9" name="Shape 9"/>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35" type="#_x0000_t202" style="position:absolute;margin-left:526.60000000000002pt;margin-top:784.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6117590</wp:posOffset>
              </wp:positionH>
              <wp:positionV relativeFrom="page">
                <wp:posOffset>429895</wp:posOffset>
              </wp:positionV>
              <wp:extent cx="530225" cy="255905"/>
              <wp:wrapNone/>
              <wp:docPr id="7" name="Shape 7"/>
              <a:graphic xmlns:a="http://schemas.openxmlformats.org/drawingml/2006/main">
                <a:graphicData uri="http://schemas.microsoft.com/office/word/2010/wordprocessingShape">
                  <wps:wsp>
                    <wps:cNvSpPr txBox="1"/>
                    <wps:spPr>
                      <a:xfrm>
                        <a:ext cx="530225" cy="2559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317</w:t>
                          </w:r>
                        </w:p>
                      </w:txbxContent>
                    </wps:txbx>
                    <wps:bodyPr wrap="none" lIns="0" tIns="0" rIns="0" bIns="0">
                      <a:spAutoFit/>
                    </wps:bodyPr>
                  </wps:wsp>
                </a:graphicData>
              </a:graphic>
            </wp:anchor>
          </w:drawing>
        </mc:Choice>
        <mc:Fallback>
          <w:pict>
            <v:shape id="_x0000_s1033" type="#_x0000_t202" style="position:absolute;margin-left:481.69999999999999pt;margin-top:33.850000000000001pt;width:41.75pt;height:20.15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317</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5"/>
      <w:numFmt w:val="decimal"/>
      <w:lvlText w:val="4.%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0"/>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540" w:line="382" w:lineRule="auto"/>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