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firstLine="0"/>
        <w:jc w:val="right"/>
      </w:pPr>
      <w:bookmarkStart w:id="0" w:name="bookmark0"/>
      <w:r>
        <w:rPr>
          <w:rStyle w:val="CharStyle3"/>
        </w:rPr>
        <w:t>lllllllllllllllllllllllll</w:t>
      </w:r>
      <w:bookmarkEnd w:id="0"/>
    </w:p>
    <w:p>
      <w:pPr>
        <w:pStyle w:val="Style7"/>
        <w:keepNext w:val="0"/>
        <w:keepLines w:val="0"/>
        <w:widowControl w:val="0"/>
        <w:shd w:val="clear" w:color="auto" w:fill="auto"/>
        <w:bidi w:val="0"/>
        <w:spacing w:before="0" w:after="60" w:line="240" w:lineRule="auto"/>
        <w:ind w:left="0" w:right="660" w:firstLine="0"/>
        <w:jc w:val="right"/>
        <w:rPr>
          <w:sz w:val="16"/>
          <w:szCs w:val="16"/>
        </w:rPr>
      </w:pPr>
      <w:r>
        <w:rPr>
          <w:rStyle w:val="CharStyle8"/>
          <w:sz w:val="16"/>
          <w:szCs w:val="16"/>
        </w:rPr>
        <w:t>2025003992</w:t>
      </w:r>
    </w:p>
    <w:p>
      <w:pPr>
        <w:pStyle w:val="Style10"/>
        <w:keepNext/>
        <w:keepLines/>
        <w:widowControl w:val="0"/>
        <w:shd w:val="clear" w:color="auto" w:fill="auto"/>
        <w:bidi w:val="0"/>
        <w:spacing w:before="0" w:after="300" w:line="240" w:lineRule="auto"/>
        <w:ind w:left="0" w:right="0" w:firstLine="0"/>
        <w:jc w:val="center"/>
        <w:rPr>
          <w:sz w:val="20"/>
          <w:szCs w:val="20"/>
        </w:rPr>
      </w:pPr>
      <w:bookmarkStart w:id="2" w:name="bookmark2"/>
      <w:r>
        <w:rPr>
          <w:rStyle w:val="CharStyle11"/>
          <w:b/>
          <w:bCs/>
          <w:sz w:val="20"/>
          <w:szCs w:val="20"/>
          <w:u w:val="single"/>
        </w:rPr>
        <w:t>RÁMCOVÁ KUPNÍ SMLOUVA</w:t>
      </w:r>
      <w:bookmarkEnd w:id="2"/>
    </w:p>
    <w:p>
      <w:pPr>
        <w:pStyle w:val="Style13"/>
        <w:keepNext w:val="0"/>
        <w:keepLines w:val="0"/>
        <w:widowControl w:val="0"/>
        <w:shd w:val="clear" w:color="auto" w:fill="auto"/>
        <w:bidi w:val="0"/>
        <w:spacing w:before="0" w:after="300" w:line="269" w:lineRule="auto"/>
        <w:ind w:left="2040" w:right="0" w:hanging="1280"/>
        <w:jc w:val="left"/>
      </w:pPr>
      <w:r>
        <w:rPr>
          <w:rStyle w:val="CharStyle14"/>
        </w:rPr>
        <w:t>uzavřená v souladu s ustanovením § 2079 a násl. zákona č. 89/2012 Sb., občanský zákoník, mezi níže uvedenými smluvními stranami</w:t>
      </w:r>
    </w:p>
    <w:tbl>
      <w:tblPr>
        <w:tblOverlap w:val="never"/>
        <w:jc w:val="center"/>
        <w:tblLayout w:type="fixed"/>
      </w:tblPr>
      <w:tblGrid>
        <w:gridCol w:w="2669"/>
        <w:gridCol w:w="6192"/>
      </w:tblGrid>
      <w:tr>
        <w:trPr>
          <w:trHeight w:val="509" w:hRule="exact"/>
        </w:trPr>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Jméno:</w:t>
            </w:r>
          </w:p>
        </w:tc>
        <w:tc>
          <w:tcPr>
            <w:tcBorders/>
            <w:shd w:val="clear" w:color="auto" w:fill="auto"/>
            <w:vAlign w:val="top"/>
          </w:tcPr>
          <w:p>
            <w:pPr>
              <w:pStyle w:val="Style18"/>
              <w:keepNext w:val="0"/>
              <w:keepLines w:val="0"/>
              <w:widowControl w:val="0"/>
              <w:shd w:val="clear" w:color="auto" w:fill="auto"/>
              <w:bidi w:val="0"/>
              <w:spacing w:before="0" w:after="0"/>
              <w:ind w:left="0" w:right="0" w:firstLine="0"/>
              <w:jc w:val="left"/>
            </w:pPr>
            <w:r>
              <w:rPr>
                <w:rStyle w:val="CharStyle19"/>
                <w:b/>
                <w:bCs/>
              </w:rPr>
              <w:t>Zdravotnická záchranná služba Jihomoravského kraje, příspěvková organizace</w:t>
            </w:r>
          </w:p>
        </w:tc>
      </w:tr>
      <w:tr>
        <w:trPr>
          <w:trHeight w:val="240" w:hRule="exact"/>
        </w:trPr>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Sídlo:</w:t>
            </w:r>
          </w:p>
        </w:tc>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Kamenice 798/1 d, 625 00 Brno</w:t>
            </w:r>
          </w:p>
        </w:tc>
      </w:tr>
      <w:tr>
        <w:trPr>
          <w:trHeight w:val="259" w:hRule="exact"/>
        </w:trPr>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Jednající:</w:t>
            </w:r>
          </w:p>
        </w:tc>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MUDr. Hana Albrechtová, ředitelka</w:t>
            </w:r>
          </w:p>
        </w:tc>
      </w:tr>
      <w:tr>
        <w:trPr>
          <w:trHeight w:val="254" w:hRule="exact"/>
        </w:trPr>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Kontaktní osoba:</w:t>
            </w:r>
          </w:p>
        </w:tc>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spacing w:val="3"/>
                <w:shd w:val="clear" w:color="auto" w:fill="000000"/>
              </w:rPr>
              <w:t>...</w:t>
            </w:r>
            <w:r>
              <w:rPr>
                <w:rStyle w:val="CharStyle19"/>
                <w:spacing w:val="4"/>
                <w:shd w:val="clear" w:color="auto" w:fill="000000"/>
              </w:rPr>
              <w:t>........</w:t>
            </w:r>
            <w:r>
              <w:rPr>
                <w:rStyle w:val="CharStyle19"/>
                <w:shd w:val="clear" w:color="auto" w:fill="000000"/>
              </w:rPr>
              <w:t>​</w:t>
            </w:r>
            <w:r>
              <w:rPr>
                <w:rStyle w:val="CharStyle19"/>
                <w:spacing w:val="1"/>
                <w:shd w:val="clear" w:color="auto" w:fill="000000"/>
              </w:rPr>
              <w:t>.........</w:t>
            </w:r>
            <w:r>
              <w:rPr>
                <w:rStyle w:val="CharStyle19"/>
                <w:spacing w:val="2"/>
                <w:shd w:val="clear" w:color="auto" w:fill="000000"/>
              </w:rPr>
              <w:t>.....</w:t>
            </w:r>
            <w:r>
              <w:rPr>
                <w:rStyle w:val="CharStyle19"/>
                <w:u w:val="single"/>
                <w:shd w:val="clear" w:color="auto" w:fill="000000"/>
                <w:lang w:val="en-US" w:eastAsia="en-US" w:bidi="en-US"/>
              </w:rPr>
              <w:t>​</w:t>
            </w:r>
            <w:r>
              <w:rPr>
                <w:rStyle w:val="CharStyle19"/>
                <w:spacing w:val="1"/>
                <w:u w:val="single"/>
                <w:shd w:val="clear" w:color="auto" w:fill="000000"/>
                <w:lang w:val="en-US" w:eastAsia="en-US" w:bidi="en-US"/>
              </w:rPr>
              <w:t>...</w:t>
            </w:r>
            <w:r>
              <w:rPr>
                <w:rStyle w:val="CharStyle19"/>
                <w:spacing w:val="2"/>
                <w:u w:val="single"/>
                <w:shd w:val="clear" w:color="auto" w:fill="000000"/>
                <w:lang w:val="en-US" w:eastAsia="en-US" w:bidi="en-US"/>
              </w:rPr>
              <w:t>..............</w:t>
            </w:r>
            <w:r>
              <w:rPr>
                <w:rStyle w:val="CharStyle19"/>
                <w:spacing w:val="1"/>
                <w:shd w:val="clear" w:color="auto" w:fill="000000"/>
                <w:lang w:val="en-US" w:eastAsia="en-US" w:bidi="en-US"/>
              </w:rPr>
              <w:t>..</w:t>
            </w:r>
            <w:r>
              <w:rPr>
                <w:rStyle w:val="CharStyle19"/>
                <w:spacing w:val="2"/>
                <w:shd w:val="clear" w:color="auto" w:fill="000000"/>
                <w:lang w:val="en-US" w:eastAsia="en-US" w:bidi="en-US"/>
              </w:rPr>
              <w:t>.............</w:t>
            </w:r>
            <w:r>
              <w:rPr>
                <w:rStyle w:val="CharStyle19"/>
                <w:shd w:val="clear" w:color="auto" w:fill="000000"/>
                <w:lang w:val="en-US" w:eastAsia="en-US" w:bidi="en-US"/>
              </w:rPr>
              <w:t>..</w:t>
            </w:r>
            <w:r>
              <w:rPr>
                <w:rStyle w:val="CharStyle19"/>
                <w:shd w:val="clear" w:color="auto" w:fill="000000"/>
              </w:rPr>
              <w:t>​</w:t>
            </w:r>
            <w:r>
              <w:rPr>
                <w:rStyle w:val="CharStyle19"/>
                <w:spacing w:val="8"/>
                <w:shd w:val="clear" w:color="auto" w:fill="000000"/>
              </w:rPr>
              <w:t>...</w:t>
            </w:r>
            <w:r>
              <w:rPr>
                <w:rStyle w:val="CharStyle19"/>
                <w:spacing w:val="9"/>
                <w:shd w:val="clear" w:color="auto" w:fill="000000"/>
              </w:rPr>
              <w:t>..</w:t>
            </w:r>
            <w:r>
              <w:rPr>
                <w:rStyle w:val="CharStyle19"/>
                <w:shd w:val="clear" w:color="auto" w:fill="000000"/>
              </w:rPr>
              <w:t>​.......​.......​......</w:t>
            </w:r>
          </w:p>
        </w:tc>
      </w:tr>
      <w:tr>
        <w:trPr>
          <w:trHeight w:val="782" w:hRule="exact"/>
        </w:trPr>
        <w:tc>
          <w:tcPr>
            <w:tcBorders/>
            <w:shd w:val="clear" w:color="auto" w:fill="auto"/>
            <w:vAlign w:val="bottom"/>
          </w:tcPr>
          <w:p>
            <w:pPr>
              <w:pStyle w:val="Style18"/>
              <w:keepNext w:val="0"/>
              <w:keepLines w:val="0"/>
              <w:widowControl w:val="0"/>
              <w:shd w:val="clear" w:color="auto" w:fill="auto"/>
              <w:bidi w:val="0"/>
              <w:spacing w:before="0" w:after="40" w:line="240" w:lineRule="auto"/>
              <w:ind w:left="0" w:right="0" w:firstLine="0"/>
              <w:jc w:val="left"/>
            </w:pPr>
            <w:r>
              <w:rPr>
                <w:rStyle w:val="CharStyle19"/>
              </w:rPr>
              <w:t>IČO:</w:t>
            </w:r>
          </w:p>
          <w:p>
            <w:pPr>
              <w:pStyle w:val="Style18"/>
              <w:keepNext w:val="0"/>
              <w:keepLines w:val="0"/>
              <w:widowControl w:val="0"/>
              <w:shd w:val="clear" w:color="auto" w:fill="auto"/>
              <w:bidi w:val="0"/>
              <w:spacing w:before="0" w:after="40" w:line="240" w:lineRule="auto"/>
              <w:ind w:left="0" w:right="0" w:firstLine="0"/>
              <w:jc w:val="left"/>
            </w:pPr>
            <w:r>
              <w:rPr>
                <w:rStyle w:val="CharStyle19"/>
              </w:rPr>
              <w:t>DIČ:</w:t>
            </w:r>
          </w:p>
          <w:p>
            <w:pPr>
              <w:pStyle w:val="Style18"/>
              <w:keepNext w:val="0"/>
              <w:keepLines w:val="0"/>
              <w:widowControl w:val="0"/>
              <w:shd w:val="clear" w:color="auto" w:fill="auto"/>
              <w:bidi w:val="0"/>
              <w:spacing w:before="0" w:after="40" w:line="240" w:lineRule="auto"/>
              <w:ind w:left="0" w:right="0" w:firstLine="0"/>
              <w:jc w:val="left"/>
            </w:pPr>
            <w:r>
              <w:rPr>
                <w:rStyle w:val="CharStyle19"/>
              </w:rPr>
              <w:t>Zápis v OR:</w:t>
            </w:r>
          </w:p>
        </w:tc>
        <w:tc>
          <w:tcPr>
            <w:tcBorders>
              <w:top w:val="single" w:sz="4"/>
            </w:tcBorders>
            <w:shd w:val="clear" w:color="auto" w:fill="auto"/>
            <w:vAlign w:val="bottom"/>
          </w:tcPr>
          <w:p>
            <w:pPr>
              <w:pStyle w:val="Style18"/>
              <w:keepNext w:val="0"/>
              <w:keepLines w:val="0"/>
              <w:widowControl w:val="0"/>
              <w:shd w:val="clear" w:color="auto" w:fill="auto"/>
              <w:bidi w:val="0"/>
              <w:spacing w:before="0" w:after="40" w:line="240" w:lineRule="auto"/>
              <w:ind w:left="0" w:right="0" w:firstLine="0"/>
              <w:jc w:val="left"/>
            </w:pPr>
            <w:r>
              <w:rPr>
                <w:rStyle w:val="CharStyle19"/>
              </w:rPr>
              <w:t>00346292</w:t>
            </w:r>
          </w:p>
          <w:p>
            <w:pPr>
              <w:pStyle w:val="Style18"/>
              <w:keepNext w:val="0"/>
              <w:keepLines w:val="0"/>
              <w:widowControl w:val="0"/>
              <w:shd w:val="clear" w:color="auto" w:fill="auto"/>
              <w:bidi w:val="0"/>
              <w:spacing w:before="0" w:after="40" w:line="240" w:lineRule="auto"/>
              <w:ind w:left="0" w:right="0" w:firstLine="0"/>
              <w:jc w:val="left"/>
            </w:pPr>
            <w:r>
              <w:rPr>
                <w:rStyle w:val="CharStyle19"/>
              </w:rPr>
              <w:t>CZ00346292</w:t>
            </w:r>
          </w:p>
          <w:p>
            <w:pPr>
              <w:pStyle w:val="Style18"/>
              <w:keepNext w:val="0"/>
              <w:keepLines w:val="0"/>
              <w:widowControl w:val="0"/>
              <w:shd w:val="clear" w:color="auto" w:fill="auto"/>
              <w:bidi w:val="0"/>
              <w:spacing w:before="0" w:after="40" w:line="240" w:lineRule="auto"/>
              <w:ind w:left="0" w:right="0" w:firstLine="0"/>
              <w:jc w:val="left"/>
            </w:pPr>
            <w:r>
              <w:rPr>
                <w:rStyle w:val="CharStyle19"/>
              </w:rPr>
              <w:t>Krajský soud v Brně sp. zn. Pr 1245</w:t>
            </w:r>
          </w:p>
        </w:tc>
      </w:tr>
      <w:tr>
        <w:trPr>
          <w:trHeight w:val="341" w:hRule="exact"/>
        </w:trPr>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Bankovní spojení (číslo účtu):</w:t>
            </w:r>
          </w:p>
        </w:tc>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MONETA Money Bank, a.s., č. ú. 117203514/0600</w:t>
            </w:r>
          </w:p>
        </w:tc>
      </w:tr>
    </w:tbl>
    <w:p>
      <w:pPr>
        <w:pStyle w:val="Style15"/>
        <w:keepNext w:val="0"/>
        <w:keepLines w:val="0"/>
        <w:widowControl w:val="0"/>
        <w:shd w:val="clear" w:color="auto" w:fill="auto"/>
        <w:bidi w:val="0"/>
        <w:spacing w:before="0" w:after="0" w:line="240" w:lineRule="auto"/>
        <w:ind w:left="14" w:right="0" w:firstLine="0"/>
        <w:jc w:val="left"/>
      </w:pPr>
      <w:r>
        <w:rPr>
          <w:rStyle w:val="CharStyle16"/>
        </w:rPr>
        <w:t xml:space="preserve">(dále jen </w:t>
      </w:r>
      <w:r>
        <w:rPr>
          <w:rStyle w:val="CharStyle16"/>
          <w:b/>
          <w:bCs/>
          <w:i/>
          <w:iCs/>
        </w:rPr>
        <w:t>„kupující )</w:t>
      </w:r>
    </w:p>
    <w:p>
      <w:pPr>
        <w:widowControl w:val="0"/>
        <w:spacing w:after="219" w:line="1" w:lineRule="exact"/>
      </w:pPr>
    </w:p>
    <w:tbl>
      <w:tblPr>
        <w:tblOverlap w:val="never"/>
        <w:jc w:val="center"/>
        <w:tblLayout w:type="fixed"/>
      </w:tblPr>
      <w:tblGrid>
        <w:gridCol w:w="2669"/>
        <w:gridCol w:w="6187"/>
      </w:tblGrid>
      <w:tr>
        <w:trPr>
          <w:trHeight w:val="552" w:hRule="exact"/>
        </w:trPr>
        <w:tc>
          <w:tcPr>
            <w:tcBorders/>
            <w:shd w:val="clear" w:color="auto" w:fill="auto"/>
            <w:vAlign w:val="top"/>
          </w:tcPr>
          <w:p>
            <w:pPr>
              <w:pStyle w:val="Style18"/>
              <w:keepNext w:val="0"/>
              <w:keepLines w:val="0"/>
              <w:widowControl w:val="0"/>
              <w:shd w:val="clear" w:color="auto" w:fill="auto"/>
              <w:bidi w:val="0"/>
              <w:spacing w:before="0" w:after="180" w:line="240" w:lineRule="auto"/>
              <w:ind w:left="0" w:right="0" w:firstLine="0"/>
              <w:jc w:val="left"/>
            </w:pPr>
            <w:r>
              <w:rPr>
                <w:rStyle w:val="CharStyle19"/>
              </w:rPr>
              <w:t>čl</w:t>
            </w:r>
          </w:p>
          <w:p>
            <w:pPr>
              <w:pStyle w:val="Style18"/>
              <w:keepNext w:val="0"/>
              <w:keepLines w:val="0"/>
              <w:widowControl w:val="0"/>
              <w:shd w:val="clear" w:color="auto" w:fill="auto"/>
              <w:bidi w:val="0"/>
              <w:spacing w:before="0" w:after="0" w:line="240" w:lineRule="auto"/>
              <w:ind w:left="0" w:right="0" w:firstLine="0"/>
              <w:jc w:val="left"/>
            </w:pPr>
            <w:r>
              <w:rPr>
                <w:rStyle w:val="CharStyle19"/>
              </w:rPr>
              <w:t>Jméno:</w:t>
            </w:r>
          </w:p>
        </w:tc>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Zarys International Group s.r.o.</w:t>
            </w:r>
          </w:p>
        </w:tc>
      </w:tr>
      <w:tr>
        <w:trPr>
          <w:trHeight w:val="250" w:hRule="exact"/>
        </w:trPr>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Sídlo:</w:t>
            </w:r>
          </w:p>
        </w:tc>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Závodní 101/2006, 700 30 Ostrava</w:t>
            </w:r>
          </w:p>
        </w:tc>
      </w:tr>
      <w:tr>
        <w:trPr>
          <w:trHeight w:val="274" w:hRule="exact"/>
        </w:trPr>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Jednající:</w:t>
            </w:r>
          </w:p>
        </w:tc>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Wojciech Boryczko, prokura</w:t>
            </w:r>
          </w:p>
        </w:tc>
      </w:tr>
      <w:tr>
        <w:trPr>
          <w:trHeight w:val="230" w:hRule="exact"/>
        </w:trPr>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Kontaktní osoba:</w:t>
            </w:r>
          </w:p>
        </w:tc>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spacing w:val="2"/>
                <w:shd w:val="clear" w:color="auto" w:fill="000000"/>
              </w:rPr>
              <w:t>.......</w:t>
            </w:r>
            <w:r>
              <w:rPr>
                <w:rStyle w:val="CharStyle19"/>
                <w:spacing w:val="3"/>
                <w:shd w:val="clear" w:color="auto" w:fill="000000"/>
              </w:rPr>
              <w:t>.....</w:t>
            </w:r>
            <w:r>
              <w:rPr>
                <w:rStyle w:val="CharStyle19"/>
                <w:shd w:val="clear" w:color="auto" w:fill="000000"/>
              </w:rPr>
              <w:t>​</w:t>
            </w:r>
            <w:r>
              <w:rPr>
                <w:rStyle w:val="CharStyle19"/>
                <w:spacing w:val="2"/>
                <w:shd w:val="clear" w:color="auto" w:fill="000000"/>
              </w:rPr>
              <w:t>.............</w:t>
            </w:r>
            <w:r>
              <w:rPr>
                <w:rStyle w:val="CharStyle19"/>
                <w:spacing w:val="3"/>
                <w:shd w:val="clear" w:color="auto" w:fill="000000"/>
              </w:rPr>
              <w:t>.....</w:t>
            </w:r>
            <w:r>
              <w:rPr>
                <w:rStyle w:val="CharStyle19"/>
                <w:shd w:val="clear" w:color="auto" w:fill="000000"/>
              </w:rPr>
              <w:t>​</w:t>
            </w:r>
            <w:r>
              <w:rPr>
                <w:rStyle w:val="CharStyle19"/>
                <w:spacing w:val="3"/>
                <w:shd w:val="clear" w:color="auto" w:fill="000000"/>
              </w:rPr>
              <w:t>..............</w:t>
            </w:r>
            <w:r>
              <w:rPr>
                <w:rStyle w:val="CharStyle19"/>
                <w:shd w:val="clear" w:color="auto" w:fill="000000"/>
              </w:rPr>
              <w:t>​</w:t>
            </w:r>
            <w:r>
              <w:rPr>
                <w:rStyle w:val="CharStyle19"/>
                <w:spacing w:val="7"/>
                <w:shd w:val="clear" w:color="auto" w:fill="000000"/>
              </w:rPr>
              <w:t>.</w:t>
            </w:r>
            <w:r>
              <w:rPr>
                <w:rStyle w:val="CharStyle19"/>
                <w:spacing w:val="8"/>
                <w:shd w:val="clear" w:color="auto" w:fill="000000"/>
              </w:rPr>
              <w:t>...</w:t>
            </w:r>
          </w:p>
        </w:tc>
      </w:tr>
      <w:tr>
        <w:trPr>
          <w:trHeight w:val="782" w:hRule="exact"/>
        </w:trPr>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IČO:</w:t>
            </w:r>
          </w:p>
          <w:p>
            <w:pPr>
              <w:pStyle w:val="Style18"/>
              <w:keepNext w:val="0"/>
              <w:keepLines w:val="0"/>
              <w:widowControl w:val="0"/>
              <w:shd w:val="clear" w:color="auto" w:fill="auto"/>
              <w:bidi w:val="0"/>
              <w:spacing w:before="0" w:after="0" w:line="240" w:lineRule="auto"/>
              <w:ind w:left="0" w:right="0" w:firstLine="0"/>
              <w:jc w:val="left"/>
            </w:pPr>
            <w:r>
              <w:rPr>
                <w:rStyle w:val="CharStyle19"/>
              </w:rPr>
              <w:t>DIČ:</w:t>
            </w:r>
          </w:p>
          <w:p>
            <w:pPr>
              <w:pStyle w:val="Style18"/>
              <w:keepNext w:val="0"/>
              <w:keepLines w:val="0"/>
              <w:widowControl w:val="0"/>
              <w:shd w:val="clear" w:color="auto" w:fill="auto"/>
              <w:bidi w:val="0"/>
              <w:spacing w:before="0" w:after="0" w:line="240" w:lineRule="auto"/>
              <w:ind w:left="0" w:right="0" w:firstLine="0"/>
              <w:jc w:val="both"/>
            </w:pPr>
            <w:r>
              <w:rPr>
                <w:rStyle w:val="CharStyle19"/>
              </w:rPr>
              <w:t>Zápis v OR:</w:t>
            </w:r>
          </w:p>
        </w:tc>
        <w:tc>
          <w:tcPr>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09637737</w:t>
            </w:r>
          </w:p>
          <w:p>
            <w:pPr>
              <w:pStyle w:val="Style18"/>
              <w:keepNext w:val="0"/>
              <w:keepLines w:val="0"/>
              <w:widowControl w:val="0"/>
              <w:shd w:val="clear" w:color="auto" w:fill="auto"/>
              <w:bidi w:val="0"/>
              <w:spacing w:before="0" w:after="0" w:line="240" w:lineRule="auto"/>
              <w:ind w:left="0" w:right="0" w:firstLine="0"/>
              <w:jc w:val="left"/>
            </w:pPr>
            <w:r>
              <w:rPr>
                <w:rStyle w:val="CharStyle19"/>
              </w:rPr>
              <w:t>CZ09637737</w:t>
            </w:r>
          </w:p>
          <w:p>
            <w:pPr>
              <w:pStyle w:val="Style18"/>
              <w:keepNext w:val="0"/>
              <w:keepLines w:val="0"/>
              <w:widowControl w:val="0"/>
              <w:shd w:val="clear" w:color="auto" w:fill="auto"/>
              <w:bidi w:val="0"/>
              <w:spacing w:before="0" w:after="0" w:line="240" w:lineRule="auto"/>
              <w:ind w:left="0" w:right="0" w:firstLine="0"/>
              <w:jc w:val="left"/>
            </w:pPr>
            <w:r>
              <w:rPr>
                <w:rStyle w:val="CharStyle19"/>
              </w:rPr>
              <w:t>u KS v Ostravě, oddíl C, vložka 83680</w:t>
            </w:r>
          </w:p>
        </w:tc>
      </w:tr>
      <w:tr>
        <w:trPr>
          <w:trHeight w:val="355" w:hRule="exact"/>
        </w:trPr>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Bankovní spojení (číslo účtu):</w:t>
            </w:r>
          </w:p>
        </w:tc>
        <w:tc>
          <w:tcPr>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295540732/0300</w:t>
            </w:r>
          </w:p>
        </w:tc>
      </w:tr>
    </w:tbl>
    <w:p>
      <w:pPr>
        <w:pStyle w:val="Style15"/>
        <w:keepNext w:val="0"/>
        <w:keepLines w:val="0"/>
        <w:widowControl w:val="0"/>
        <w:shd w:val="clear" w:color="auto" w:fill="auto"/>
        <w:bidi w:val="0"/>
        <w:spacing w:before="0" w:after="0" w:line="240" w:lineRule="auto"/>
        <w:ind w:left="10" w:right="0" w:firstLine="0"/>
        <w:jc w:val="left"/>
      </w:pPr>
      <w:r>
        <w:rPr>
          <w:rStyle w:val="CharStyle16"/>
        </w:rPr>
        <w:t xml:space="preserve">(dále jen </w:t>
      </w:r>
      <w:r>
        <w:rPr>
          <w:rStyle w:val="CharStyle16"/>
          <w:b/>
          <w:bCs/>
          <w:i/>
          <w:iCs/>
        </w:rPr>
        <w:t>„prodávající</w:t>
      </w:r>
    </w:p>
    <w:p>
      <w:pPr>
        <w:widowControl w:val="0"/>
        <w:spacing w:after="1079" w:line="1" w:lineRule="exact"/>
      </w:pP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 xml:space="preserve">Prodávající je oprávněn na základě svého vlastnického práva nakládat se zbožím v podobě </w:t>
      </w:r>
      <w:r>
        <w:rPr>
          <w:rStyle w:val="CharStyle14"/>
          <w:b/>
          <w:bCs/>
        </w:rPr>
        <w:t xml:space="preserve">jednorázových lůžkovin - povlaků. </w:t>
      </w:r>
      <w:r>
        <w:rPr>
          <w:rStyle w:val="CharStyle14"/>
        </w:rPr>
        <w:t>Bližší specifikace tohoto zboží a jeho jednotková cena je uvedena v příloze č.1, která je nedílnou součástí této smlouvy.</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Prodávající se zavazuje dodávat zboží podle čl. 1 této smlouvy kupujícímu, a převádět na něho vlastnické právo k tomuto zboží, a to ve lhůtě podle čl. 4 této smlouvy a ve specifikaci a rozsahu dle jednotlivých dílčích kupních smluv. Dílčí kupní smlouva se přitom považuje za uzavřenou doručením jednotlivé písemné výzvy (objednávky) do rukou prodávajícího, a to ve znění, daném výzvou (objednávkou) a touto rámcovou kupní smlouvou. Výzva (objednávka) kupujícího musí obsahovat vždy údaj o specifikaci a množství objednaného zboží, datum a jméno kupujícího. Výzvu (objednávku) kupujícího lze učinit i elektronickou formou (e-mailem).</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Prodávající se zavazuje dodávat zboží podle čl. 1 této smlouvy v balení, které musí být opatřeno označením s uvedením specifikace materiálu, gramáže, počtu kusů v balení a výrobce tohoto zboží. Součástí dodávky zboží podle čl. 1 a čl. 2 této smlouvy je vždy předání veškerých písemných dokladů, které jsou potřebné k používání tohoto zboží.</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 xml:space="preserve">Prodávající se zavazuje dodávat zboží podle čl. 1 této smlouvy ve lhůtě do </w:t>
      </w:r>
      <w:r>
        <w:rPr>
          <w:rStyle w:val="CharStyle14"/>
          <w:b/>
          <w:bCs/>
        </w:rPr>
        <w:t xml:space="preserve">7 pracovních dní </w:t>
      </w:r>
      <w:r>
        <w:rPr>
          <w:rStyle w:val="CharStyle14"/>
        </w:rPr>
        <w:t>od uzavření jednotlivé dílčí kupní smlouvy dle čl. 2 této smlouvy. Místem plnění jsou výjezdové základny, jejichž výčet je uveden v příloze č. 2 této rámcové kupní smlouvy, a to dle výběru kupujícího.</w:t>
      </w:r>
    </w:p>
    <w:p>
      <w:pPr>
        <w:pStyle w:val="Style13"/>
        <w:keepNext w:val="0"/>
        <w:keepLines w:val="0"/>
        <w:widowControl w:val="0"/>
        <w:numPr>
          <w:ilvl w:val="0"/>
          <w:numId w:val="1"/>
        </w:numPr>
        <w:shd w:val="clear" w:color="auto" w:fill="auto"/>
        <w:tabs>
          <w:tab w:pos="413" w:val="left"/>
        </w:tabs>
        <w:bidi w:val="0"/>
        <w:spacing w:before="0" w:after="200"/>
        <w:ind w:left="420" w:right="0" w:hanging="420"/>
        <w:jc w:val="both"/>
      </w:pPr>
      <w:r>
        <w:rPr>
          <w:rStyle w:val="CharStyle14"/>
        </w:rPr>
        <w:t>Závazek prodávajícího k dodávce zboží podle čl. 1 této smlouvy se považuje v každém jednotlivém případě za splněný předáním a převzetím příslušného zboží, prostého všech zjevných vad, formou písemného předávacího protokolu, podepsaného oběma stranami. Tímto splněním závazku také přechází z prodávajícího na kupujícího nebezpečí škody na převáděném zboží a vlastnické právo k tomuto zboží.</w:t>
      </w:r>
    </w:p>
    <w:p>
      <w:pPr>
        <w:pStyle w:val="Style13"/>
        <w:keepNext w:val="0"/>
        <w:keepLines w:val="0"/>
        <w:widowControl w:val="0"/>
        <w:numPr>
          <w:ilvl w:val="0"/>
          <w:numId w:val="1"/>
        </w:numPr>
        <w:shd w:val="clear" w:color="auto" w:fill="auto"/>
        <w:tabs>
          <w:tab w:pos="413" w:val="left"/>
        </w:tabs>
        <w:bidi w:val="0"/>
        <w:spacing w:before="0" w:after="200"/>
        <w:ind w:left="420" w:right="0" w:hanging="420"/>
        <w:jc w:val="both"/>
      </w:pPr>
      <w:r>
        <w:rPr>
          <w:rStyle w:val="CharStyle14"/>
        </w:rPr>
        <w:t>Kupující se zavazuje zaplatit prodávajícímu za předmět koupě a prodeje podle čl. 1 této smlouvy kupní cenu. Kupní cena za jednotlivé dílčí kupní smlouvy dle č. 2 této smlouvy se stanoví jako součin odebraného množství a jednotkových cen příslušného zboží. Jednotkové ceny zboží jsou uvedeny v příloze č. 1 této smlouvy. Součástí těchto cen jsou veškeré náklady prodávajícího na splnění jeho závazku k dodání zboží podle této smlouvy. Výše uvedené ceny se prodávající zavazuje garantovat po dobu podle čl. 23 této smlouvy. Změna ceny je možná pouze v případě zákonné změny sazby DPH.</w:t>
      </w:r>
    </w:p>
    <w:p>
      <w:pPr>
        <w:pStyle w:val="Style13"/>
        <w:keepNext w:val="0"/>
        <w:keepLines w:val="0"/>
        <w:widowControl w:val="0"/>
        <w:numPr>
          <w:ilvl w:val="0"/>
          <w:numId w:val="1"/>
        </w:numPr>
        <w:shd w:val="clear" w:color="auto" w:fill="auto"/>
        <w:tabs>
          <w:tab w:pos="413" w:val="left"/>
        </w:tabs>
        <w:bidi w:val="0"/>
        <w:spacing w:before="0" w:after="260"/>
        <w:ind w:left="420" w:right="0" w:hanging="420"/>
        <w:jc w:val="both"/>
      </w:pPr>
      <w:r>
        <w:rPr>
          <w:rStyle w:val="CharStyle14"/>
        </w:rPr>
        <w:t xml:space="preserve">Kupní cena podle čl. 6 této smlouvy splatná po splnění závazku prodávajícího k dodávce zboží způsobem podle čl. 5 této smlouvy, a to ve lhůtě do 30 dnů ode dne doručení jejího písemného vyúčtování (daňového dokladu/faktury). Faktura bude doručena elektronicky na email: </w:t>
      </w:r>
      <w:r>
        <w:rPr>
          <w:rStyle w:val="CharStyle14"/>
          <w:u w:val="single"/>
          <w:shd w:val="clear" w:color="auto" w:fill="000000"/>
        </w:rPr>
        <w:t>​</w:t>
      </w:r>
      <w:r>
        <w:rPr>
          <w:rStyle w:val="CharStyle14"/>
          <w:spacing w:val="2"/>
          <w:u w:val="single"/>
          <w:shd w:val="clear" w:color="auto" w:fill="000000"/>
        </w:rPr>
        <w:t>...</w:t>
      </w:r>
      <w:r>
        <w:rPr>
          <w:rStyle w:val="CharStyle14"/>
          <w:spacing w:val="3"/>
          <w:u w:val="single"/>
          <w:shd w:val="clear" w:color="auto" w:fill="000000"/>
        </w:rPr>
        <w:t>............</w:t>
      </w:r>
      <w:r>
        <w:rPr>
          <w:rStyle w:val="CharStyle14"/>
          <w:u w:val="single"/>
          <w:shd w:val="clear" w:color="auto" w:fill="000000"/>
        </w:rPr>
        <w:t>​</w:t>
      </w:r>
      <w:r>
        <w:rPr>
          <w:rStyle w:val="CharStyle14"/>
          <w:spacing w:val="4"/>
          <w:u w:val="single"/>
          <w:shd w:val="clear" w:color="auto" w:fill="000000"/>
        </w:rPr>
        <w:t>.....</w:t>
      </w:r>
      <w:r>
        <w:rPr>
          <w:rStyle w:val="CharStyle14"/>
          <w:spacing w:val="1"/>
          <w:u w:val="single"/>
          <w:shd w:val="clear" w:color="auto" w:fill="000000"/>
        </w:rPr>
        <w:t>..</w:t>
      </w:r>
      <w:r>
        <w:rPr>
          <w:rStyle w:val="CharStyle14"/>
          <w:spacing w:val="2"/>
          <w:u w:val="single"/>
          <w:shd w:val="clear" w:color="auto" w:fill="000000"/>
        </w:rPr>
        <w:t>.............</w:t>
      </w:r>
      <w:r>
        <w:rPr>
          <w:rStyle w:val="CharStyle14"/>
          <w:shd w:val="clear" w:color="auto" w:fill="000000"/>
        </w:rPr>
        <w:t>.</w:t>
      </w:r>
      <w:r>
        <w:rPr>
          <w:rStyle w:val="CharStyle14"/>
          <w:b/>
          <w:bCs/>
          <w:shd w:val="clear" w:color="auto" w:fill="000000"/>
        </w:rPr>
        <w:t>​...</w:t>
      </w:r>
      <w:r>
        <w:rPr>
          <w:rStyle w:val="CharStyle14"/>
          <w:shd w:val="clear" w:color="auto" w:fill="000000"/>
        </w:rPr>
        <w:t>​.......................</w:t>
      </w:r>
      <w:r>
        <w:rPr>
          <w:rStyle w:val="CharStyle14"/>
          <w:spacing w:val="1"/>
          <w:shd w:val="clear" w:color="auto" w:fill="000000"/>
        </w:rPr>
        <w:t>.......</w:t>
      </w:r>
      <w:r>
        <w:rPr>
          <w:rStyle w:val="CharStyle14"/>
          <w:color w:val="7B9FDD"/>
        </w:rPr>
        <w:t xml:space="preserve">. </w:t>
      </w:r>
      <w:r>
        <w:rPr>
          <w:rStyle w:val="CharStyle14"/>
        </w:rPr>
        <w:t xml:space="preserve">Na faktuře musí být mimo jiné vždy uvedeno toto číslo veřejné zakázky, ke které se faktura vztahuje: </w:t>
      </w:r>
      <w:r>
        <w:rPr>
          <w:rStyle w:val="CharStyle14"/>
          <w:b/>
          <w:bCs/>
        </w:rPr>
        <w:t xml:space="preserve">P25V00000789. </w:t>
      </w:r>
      <w:r>
        <w:rPr>
          <w:rStyle w:val="CharStyle14"/>
        </w:rPr>
        <w:t>Přílohou faktury bude kopie oboustranně podepsaného předávacího protokolu. Nebude-li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13"/>
        <w:keepNext w:val="0"/>
        <w:keepLines w:val="0"/>
        <w:widowControl w:val="0"/>
        <w:numPr>
          <w:ilvl w:val="0"/>
          <w:numId w:val="1"/>
        </w:numPr>
        <w:shd w:val="clear" w:color="auto" w:fill="auto"/>
        <w:tabs>
          <w:tab w:pos="413" w:val="left"/>
        </w:tabs>
        <w:bidi w:val="0"/>
        <w:spacing w:before="0" w:after="200" w:line="283" w:lineRule="auto"/>
        <w:ind w:left="420" w:right="0" w:hanging="420"/>
        <w:jc w:val="both"/>
      </w:pPr>
      <w:r>
        <w:rPr>
          <w:rStyle w:val="CharStyle14"/>
        </w:rPr>
        <w:t>S převodem zboží podle čl. 1 této smlouvy je spojená záruka za jeho jakost v trvání 24 měsíců od převzetí zboží kupujícím. Nebude-li mezi oběma stranami v jednotlivém případě ujednáno jinak, s ohledem na povahu zboží podle čl. 1 této smlouvy lze reklamaci vady na tomto zboží vyřídit pouze výměnou reklamovaného zboží za jiné bezvadné, a to vždy ve lhůtě do 10 dnů od doručení příslušné reklamace.</w:t>
      </w:r>
    </w:p>
    <w:p>
      <w:pPr>
        <w:pStyle w:val="Style13"/>
        <w:keepNext w:val="0"/>
        <w:keepLines w:val="0"/>
        <w:widowControl w:val="0"/>
        <w:numPr>
          <w:ilvl w:val="0"/>
          <w:numId w:val="1"/>
        </w:numPr>
        <w:shd w:val="clear" w:color="auto" w:fill="auto"/>
        <w:tabs>
          <w:tab w:pos="413" w:val="left"/>
        </w:tabs>
        <w:bidi w:val="0"/>
        <w:spacing w:before="0" w:after="200"/>
        <w:ind w:left="420" w:right="0" w:hanging="420"/>
        <w:jc w:val="both"/>
      </w:pPr>
      <w:r>
        <w:rPr>
          <w:rStyle w:val="CharStyle14"/>
        </w:rPr>
        <w:t>Pro případ sporu o oprávněnost reklamace se kupujícímu vyhrazuje právo nechat vyhotovit k prověření jakosti zboží soudně znalecký posudek, jehož výroku se obě strany zavazují podřizovat stím, že náklady na vyhotovení tohoto posudku se zavazuje nést ten účastník tohoto sporu, kterému tento posudek nedal zapravdu.</w:t>
      </w:r>
    </w:p>
    <w:p>
      <w:pPr>
        <w:pStyle w:val="Style13"/>
        <w:keepNext w:val="0"/>
        <w:keepLines w:val="0"/>
        <w:widowControl w:val="0"/>
        <w:numPr>
          <w:ilvl w:val="0"/>
          <w:numId w:val="1"/>
        </w:numPr>
        <w:shd w:val="clear" w:color="auto" w:fill="auto"/>
        <w:tabs>
          <w:tab w:pos="413" w:val="left"/>
        </w:tabs>
        <w:bidi w:val="0"/>
        <w:spacing w:before="0" w:after="200" w:line="286" w:lineRule="auto"/>
        <w:ind w:left="420" w:right="0" w:hanging="420"/>
        <w:jc w:val="both"/>
      </w:pPr>
      <w:r>
        <w:rPr>
          <w:rStyle w:val="CharStyle14"/>
        </w:rPr>
        <w:t>Neodstraní-li prodávající vady zboží ve lhůtě podle čl. 9 této smlouvy nebo v něm z důvodů na své straně nepokračuje, a to ani po písemné výzvě ze strany kupujícího, je kupující oprávněn nechat provést toto odstranění třetí osobou na náklady prodávajícího.</w:t>
      </w:r>
    </w:p>
    <w:p>
      <w:pPr>
        <w:pStyle w:val="Style13"/>
        <w:keepNext w:val="0"/>
        <w:keepLines w:val="0"/>
        <w:widowControl w:val="0"/>
        <w:numPr>
          <w:ilvl w:val="0"/>
          <w:numId w:val="1"/>
        </w:numPr>
        <w:shd w:val="clear" w:color="auto" w:fill="auto"/>
        <w:tabs>
          <w:tab w:pos="413" w:val="left"/>
        </w:tabs>
        <w:bidi w:val="0"/>
        <w:spacing w:before="0" w:after="200"/>
        <w:ind w:left="420" w:right="0" w:hanging="420"/>
        <w:jc w:val="both"/>
      </w:pPr>
      <w:r>
        <w:rPr>
          <w:rStyle w:val="CharStyle14"/>
        </w:rPr>
        <w:t>Pro případ prodlení se splněním jeho závazku k dodání zboží ve lhůtě podle čl. 4 této smlouvy a pro případ jeho prodlení s odstraněním vady ve lhůtě podle čl. 8 této smlouvy se prodávající zavazuje zaplatit kupujícímu smluvní pokutu ve výši 0,1% z ceny příslušné dodávky za každý započatý den tohoto prodlení. Pro případ prodlení s odstraněním vady ve lhůtě podle čl. 9 této smlouvy se prodávající zavazuje platit kupujícímu smluvní pokutu ve výši 500,- Kč za každý započatý den prodlení s odstraněním vady. Obě strany se dohodly, že zaplacením smluvní pokuty podle této smlouvy není nijak dotčeno právo kupujícího na náhradu škody v plné výši. Tímto ujednáním se přitom vylučuje aplikace § 2050 občanského zákoníku na vztah mezi oběma stranami podle této smlouvy.</w:t>
      </w:r>
    </w:p>
    <w:p>
      <w:pPr>
        <w:pStyle w:val="Style13"/>
        <w:keepNext w:val="0"/>
        <w:keepLines w:val="0"/>
        <w:widowControl w:val="0"/>
        <w:numPr>
          <w:ilvl w:val="0"/>
          <w:numId w:val="1"/>
        </w:numPr>
        <w:shd w:val="clear" w:color="auto" w:fill="auto"/>
        <w:tabs>
          <w:tab w:pos="413" w:val="left"/>
        </w:tabs>
        <w:bidi w:val="0"/>
        <w:spacing w:before="0" w:after="200" w:line="286" w:lineRule="auto"/>
        <w:ind w:left="420" w:right="0" w:hanging="420"/>
        <w:jc w:val="both"/>
      </w:pPr>
      <w:r>
        <w:rPr>
          <w:rStyle w:val="CharStyle14"/>
        </w:rPr>
        <w:t>Pro případ prodlení se splněním jeho závazku k dodání zboží ve lhůtě podle čl. 4 této smlouvy a pro případ jeho prodlení s odstraněním vady ve lhůtě podle čl. 8 této smlouvy o více, než 1 týden, nebo pro případ výskytu neodstranitelné vady resp. výskytu 3 a více vad na jednom kusu zboží, a to i postupně, je kupující oprávněn odstoupit od dílčí kupní smlouvy i od této smlouvy s účinky ex tunc.</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Pro případ prodlení kupujícího se zaplacením kupní ceny nebo její části ve lhůtě podle čl. 7 této smlouvy o víc, než 1 týden, je prodávající oprávněn od této smlouvy odstoupit s účinky ex tunc.</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Prodávající je povinen zajistit, aby v rámci plnění nedošlo k porušení pracovněprávních předpisů, zejména zákona č. 262/2006 Sb., zákoník práce, ve znění pozdějších předpisů, a to vůči všem osobám, které se na plnění zakázky podílejí.</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Prodávající je povinen zajistit dodržování mezinárodních úmluv o lidských právech, sociálních či pracovních právech, zejména úmluv Mezinárodní organizace (ILO).</w:t>
      </w:r>
    </w:p>
    <w:p>
      <w:pPr>
        <w:pStyle w:val="Style13"/>
        <w:keepNext w:val="0"/>
        <w:keepLines w:val="0"/>
        <w:widowControl w:val="0"/>
        <w:numPr>
          <w:ilvl w:val="0"/>
          <w:numId w:val="1"/>
        </w:numPr>
        <w:shd w:val="clear" w:color="auto" w:fill="auto"/>
        <w:tabs>
          <w:tab w:pos="413" w:val="left"/>
        </w:tabs>
        <w:bidi w:val="0"/>
        <w:spacing w:before="0" w:after="120"/>
        <w:ind w:left="400" w:right="0" w:hanging="400"/>
        <w:jc w:val="both"/>
      </w:pPr>
      <w:r>
        <w:rPr>
          <w:rStyle w:val="CharStyle14"/>
        </w:rPr>
        <w:t>Nezajistí-li prodávající dodržování předpisů dle čl. 13 a 14 této smlouvy zaplatí kupujícímu smluvní pokutu ve výši 2.000 Kč za každé zjištěné porušení. Takovou pokutu lze udělit opakovaně, a to až do úplného splnění povinnosti.</w:t>
      </w:r>
    </w:p>
    <w:p>
      <w:pPr>
        <w:pStyle w:val="Style13"/>
        <w:keepNext w:val="0"/>
        <w:keepLines w:val="0"/>
        <w:widowControl w:val="0"/>
        <w:numPr>
          <w:ilvl w:val="0"/>
          <w:numId w:val="1"/>
        </w:numPr>
        <w:shd w:val="clear" w:color="auto" w:fill="auto"/>
        <w:tabs>
          <w:tab w:pos="413" w:val="left"/>
        </w:tabs>
        <w:bidi w:val="0"/>
        <w:spacing w:before="0" w:after="120"/>
        <w:ind w:left="400" w:right="0" w:hanging="400"/>
        <w:jc w:val="both"/>
      </w:pPr>
      <w:r>
        <w:rPr>
          <w:rStyle w:val="CharStyle14"/>
        </w:rPr>
        <w:t>Není-li touto smlouvou ujednáno jinak, řídí se vzájemný právní vztah mezi kupujícím a prodávajícím při realizaci této smlouvy ust. § 2079 až 2131 násl. občanského zákoníku, přičemž tato právní úprava má přednost před nepsanými obchodními zvyklostmi. Tímto ujednáním se přitom vylučuje aplikaci § 558 občanského zákoníku na vztah mezi oběma stranami podle této smlouvy.</w:t>
      </w:r>
    </w:p>
    <w:p>
      <w:pPr>
        <w:pStyle w:val="Style13"/>
        <w:keepNext w:val="0"/>
        <w:keepLines w:val="0"/>
        <w:widowControl w:val="0"/>
        <w:numPr>
          <w:ilvl w:val="0"/>
          <w:numId w:val="1"/>
        </w:numPr>
        <w:shd w:val="clear" w:color="auto" w:fill="auto"/>
        <w:tabs>
          <w:tab w:pos="413" w:val="left"/>
        </w:tabs>
        <w:bidi w:val="0"/>
        <w:spacing w:before="0" w:line="283" w:lineRule="auto"/>
        <w:ind w:left="400" w:right="0" w:hanging="400"/>
        <w:jc w:val="both"/>
      </w:pPr>
      <w:r>
        <w:rPr>
          <w:rStyle w:val="CharStyle14"/>
        </w:rPr>
        <w:t>Tuto smlouvu lze změnit nebo zrušit pouze jinou písemnou dohodou obou smluvních stran. Dále jsou smluvní strany oprávněny vypovědět smluvní vztah s 3-měsíční výpovědní dobou, která začíná běžet prvním dnem následujícího měsíce po doručení výpovědi druhé smluvní straně.</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Předpokladem uzavření této smlouvy je její písemná forma a dohoda o jejích podstatných náležitostech, čímž se rozumí celý obsah této smlouvy, jak je uveden v čl. 1 až 25 této smlouvy. Kupující přitom předem vylučuje přijetí tohoto návrhu s dodatkem nebo odchylkou ve smyslu ust. § 1740 odst. 3 občanského zákoníku.</w:t>
      </w:r>
    </w:p>
    <w:p>
      <w:pPr>
        <w:pStyle w:val="Style13"/>
        <w:keepNext w:val="0"/>
        <w:keepLines w:val="0"/>
        <w:widowControl w:val="0"/>
        <w:numPr>
          <w:ilvl w:val="0"/>
          <w:numId w:val="1"/>
        </w:numPr>
        <w:shd w:val="clear" w:color="auto" w:fill="auto"/>
        <w:tabs>
          <w:tab w:pos="413" w:val="left"/>
        </w:tabs>
        <w:bidi w:val="0"/>
        <w:spacing w:before="0" w:line="283" w:lineRule="auto"/>
        <w:ind w:left="400" w:right="0" w:hanging="400"/>
        <w:jc w:val="both"/>
      </w:pPr>
      <w:r>
        <w:rPr>
          <w:rStyle w:val="CharStyle14"/>
        </w:rPr>
        <w:t>Prodávající uděluje kupujícímu svůj výslovný souhlas se zveřejněním podmínek této smlouvy v rozsahu a za podmínek vyplývajících z příslušných právních předpisů (zejména zákona č. 106/1999 Sb., o svobodném přístupu k informacím, v platném znění).</w:t>
      </w:r>
    </w:p>
    <w:p>
      <w:pPr>
        <w:pStyle w:val="Style13"/>
        <w:keepNext w:val="0"/>
        <w:keepLines w:val="0"/>
        <w:widowControl w:val="0"/>
        <w:numPr>
          <w:ilvl w:val="0"/>
          <w:numId w:val="1"/>
        </w:numPr>
        <w:shd w:val="clear" w:color="auto" w:fill="auto"/>
        <w:tabs>
          <w:tab w:pos="413" w:val="left"/>
        </w:tabs>
        <w:bidi w:val="0"/>
        <w:spacing w:before="0" w:line="283" w:lineRule="auto"/>
        <w:ind w:left="400" w:right="0" w:hanging="400"/>
        <w:jc w:val="both"/>
      </w:pPr>
      <w:r>
        <w:rPr>
          <w:rStyle w:val="CharStyle14"/>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kupující.</w:t>
      </w:r>
    </w:p>
    <w:p>
      <w:pPr>
        <w:pStyle w:val="Style13"/>
        <w:keepNext w:val="0"/>
        <w:keepLines w:val="0"/>
        <w:widowControl w:val="0"/>
        <w:numPr>
          <w:ilvl w:val="0"/>
          <w:numId w:val="1"/>
        </w:numPr>
        <w:shd w:val="clear" w:color="auto" w:fill="auto"/>
        <w:tabs>
          <w:tab w:pos="413" w:val="left"/>
        </w:tabs>
        <w:bidi w:val="0"/>
        <w:spacing w:before="0"/>
        <w:ind w:left="400" w:right="0" w:hanging="400"/>
        <w:jc w:val="both"/>
      </w:pPr>
      <w:r>
        <w:rPr>
          <w:rStyle w:val="CharStyle14"/>
        </w:rPr>
        <w:t>Tato smlouva nabývá účinnosti dnem jejího uveřejnění v registru smluv dle čl. 17, nejdříve však 1.7. 2025.</w:t>
      </w:r>
    </w:p>
    <w:p>
      <w:pPr>
        <w:pStyle w:val="Style13"/>
        <w:keepNext w:val="0"/>
        <w:keepLines w:val="0"/>
        <w:widowControl w:val="0"/>
        <w:numPr>
          <w:ilvl w:val="0"/>
          <w:numId w:val="1"/>
        </w:numPr>
        <w:shd w:val="clear" w:color="auto" w:fill="auto"/>
        <w:tabs>
          <w:tab w:pos="413" w:val="left"/>
        </w:tabs>
        <w:bidi w:val="0"/>
        <w:spacing w:before="0"/>
        <w:ind w:left="0" w:right="0" w:firstLine="0"/>
        <w:jc w:val="both"/>
      </w:pPr>
      <w:r>
        <w:rPr>
          <w:rStyle w:val="CharStyle14"/>
        </w:rPr>
        <w:t xml:space="preserve">Tato smlouva se Uzavírá na dobu určitou, a to do </w:t>
      </w:r>
      <w:r>
        <w:rPr>
          <w:rStyle w:val="CharStyle14"/>
          <w:b/>
          <w:bCs/>
        </w:rPr>
        <w:t>31.12.2026.</w:t>
      </w:r>
    </w:p>
    <w:p>
      <w:pPr>
        <w:pStyle w:val="Style13"/>
        <w:keepNext w:val="0"/>
        <w:keepLines w:val="0"/>
        <w:widowControl w:val="0"/>
        <w:numPr>
          <w:ilvl w:val="0"/>
          <w:numId w:val="1"/>
        </w:numPr>
        <w:shd w:val="clear" w:color="auto" w:fill="auto"/>
        <w:tabs>
          <w:tab w:pos="413" w:val="left"/>
        </w:tabs>
        <w:bidi w:val="0"/>
        <w:spacing w:before="0" w:line="283" w:lineRule="auto"/>
        <w:ind w:left="400" w:right="0" w:hanging="400"/>
        <w:jc w:val="both"/>
      </w:pPr>
      <w:r>
        <w:rPr>
          <w:rStyle w:val="CharStyle14"/>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pPr>
        <w:pStyle w:val="Style13"/>
        <w:keepNext w:val="0"/>
        <w:keepLines w:val="0"/>
        <w:widowControl w:val="0"/>
        <w:numPr>
          <w:ilvl w:val="0"/>
          <w:numId w:val="1"/>
        </w:numPr>
        <w:shd w:val="clear" w:color="auto" w:fill="auto"/>
        <w:tabs>
          <w:tab w:pos="413" w:val="left"/>
        </w:tabs>
        <w:bidi w:val="0"/>
        <w:spacing w:before="0" w:after="120"/>
        <w:ind w:left="0" w:right="0" w:firstLine="0"/>
        <w:jc w:val="both"/>
      </w:pPr>
      <w:r>
        <w:rPr>
          <w:rStyle w:val="CharStyle14"/>
        </w:rPr>
        <w:t>Nedílnou součástí smlouvy jsou tyto přílohy:</w:t>
      </w:r>
    </w:p>
    <w:p>
      <w:pPr>
        <w:pStyle w:val="Style13"/>
        <w:keepNext w:val="0"/>
        <w:keepLines w:val="0"/>
        <w:widowControl w:val="0"/>
        <w:shd w:val="clear" w:color="auto" w:fill="auto"/>
        <w:bidi w:val="0"/>
        <w:spacing w:before="0"/>
        <w:ind w:left="0" w:right="0" w:firstLine="400"/>
        <w:jc w:val="both"/>
        <w:sectPr>
          <w:footerReference w:type="default" r:id="rId5"/>
          <w:footerReference w:type="first" r:id="rId6"/>
          <w:footnotePr>
            <w:pos w:val="pageBottom"/>
            <w:numFmt w:val="decimal"/>
            <w:numRestart w:val="continuous"/>
          </w:footnotePr>
          <w:pgSz w:w="11900" w:h="16840"/>
          <w:pgMar w:top="764" w:right="1555" w:bottom="1419" w:left="1469" w:header="0" w:footer="3" w:gutter="0"/>
          <w:pgNumType w:start="1"/>
          <w:cols w:space="720"/>
          <w:noEndnote/>
          <w:titlePg/>
          <w:rtlGutter w:val="0"/>
          <w:docGrid w:linePitch="360"/>
        </w:sectPr>
      </w:pPr>
      <w:r>
        <w:rPr>
          <w:rStyle w:val="CharStyle14"/>
        </w:rPr>
        <w:t>Příloha č. 1 Specifikace, Ceník</w:t>
      </w:r>
    </w:p>
    <w:p>
      <w:pPr>
        <w:pStyle w:val="Style13"/>
        <w:keepNext w:val="0"/>
        <w:keepLines w:val="0"/>
        <w:widowControl w:val="0"/>
        <w:shd w:val="clear" w:color="auto" w:fill="auto"/>
        <w:tabs>
          <w:tab w:leader="dot" w:pos="2669" w:val="left"/>
        </w:tabs>
        <w:bidi w:val="0"/>
        <w:spacing w:before="0" w:after="320" w:line="240" w:lineRule="auto"/>
        <w:ind w:left="0" w:right="0" w:firstLine="0"/>
        <w:jc w:val="left"/>
      </w:pPr>
      <w:r>
        <w:rPr>
          <w:rStyle w:val="CharStyle14"/>
        </w:rPr>
        <w:t>V Brně dne</w:t>
        <w:tab/>
      </w:r>
    </w:p>
    <w:p>
      <w:pPr>
        <w:pStyle w:val="Style7"/>
        <w:keepNext w:val="0"/>
        <w:keepLines w:val="0"/>
        <w:widowControl w:val="0"/>
        <w:shd w:val="clear" w:color="auto" w:fill="auto"/>
        <w:bidi w:val="0"/>
        <w:spacing w:before="0" w:after="0" w:line="240" w:lineRule="auto"/>
        <w:ind w:left="0" w:right="0" w:firstLine="0"/>
        <w:jc w:val="left"/>
      </w:pPr>
      <w:r>
        <w:rPr>
          <w:rStyle w:val="CharStyle8"/>
          <w:b/>
          <w:bCs/>
          <w:sz w:val="22"/>
          <w:szCs w:val="22"/>
        </w:rPr>
        <w:t xml:space="preserve">h/ll IDr Mana </w:t>
      </w:r>
      <w:r>
        <w:rPr>
          <w:rStyle w:val="CharStyle8"/>
        </w:rPr>
        <w:t>Digitálněpodepsal</w:t>
      </w:r>
    </w:p>
    <w:p>
      <w:pPr>
        <w:pStyle w:val="Style7"/>
        <w:keepNext w:val="0"/>
        <w:keepLines w:val="0"/>
        <w:widowControl w:val="0"/>
        <w:shd w:val="clear" w:color="auto" w:fill="auto"/>
        <w:bidi w:val="0"/>
        <w:spacing w:before="0" w:after="40" w:line="180" w:lineRule="auto"/>
        <w:ind w:left="0" w:right="0" w:firstLine="0"/>
        <w:jc w:val="left"/>
      </w:pPr>
      <w:r>
        <w:rPr>
          <w:rStyle w:val="CharStyle8"/>
          <w:b/>
          <w:bCs/>
          <w:sz w:val="22"/>
          <w:szCs w:val="22"/>
        </w:rPr>
        <w:t xml:space="preserve">IVIU LzI. n a I I a </w:t>
      </w:r>
      <w:r>
        <w:rPr>
          <w:rStyle w:val="CharStyle8"/>
        </w:rPr>
        <w:t>MUDr. Hana Albrechtová</w:t>
      </w:r>
    </w:p>
    <w:p>
      <w:pPr>
        <w:pStyle w:val="Style44"/>
        <w:keepNext w:val="0"/>
        <w:keepLines w:val="0"/>
        <w:widowControl w:val="0"/>
        <w:shd w:val="clear" w:color="auto" w:fill="auto"/>
        <w:bidi w:val="0"/>
        <w:spacing w:before="0" w:line="240" w:lineRule="auto"/>
        <w:ind w:left="0" w:right="0" w:firstLine="0"/>
        <w:jc w:val="left"/>
      </w:pPr>
      <w:r>
        <w:rPr>
          <w:rStyle w:val="CharStyle45"/>
        </w:rPr>
        <w:t>Albrechtová</w:t>
      </w:r>
    </w:p>
    <w:p>
      <w:pPr>
        <w:pStyle w:val="Style13"/>
        <w:keepNext w:val="0"/>
        <w:keepLines w:val="0"/>
        <w:widowControl w:val="0"/>
        <w:shd w:val="clear" w:color="auto" w:fill="auto"/>
        <w:bidi w:val="0"/>
        <w:spacing w:before="0" w:after="40" w:line="240" w:lineRule="auto"/>
        <w:ind w:left="0" w:right="0" w:firstLine="0"/>
        <w:jc w:val="left"/>
      </w:pPr>
      <w:r>
        <w:rPr>
          <w:rStyle w:val="CharStyle14"/>
        </w:rPr>
        <w:t>MUDr. Hana Albrechtová</w:t>
      </w:r>
    </w:p>
    <w:p>
      <w:pPr>
        <w:pStyle w:val="Style13"/>
        <w:keepNext w:val="0"/>
        <w:keepLines w:val="0"/>
        <w:widowControl w:val="0"/>
        <w:shd w:val="clear" w:color="auto" w:fill="auto"/>
        <w:bidi w:val="0"/>
        <w:spacing w:before="0" w:after="40" w:line="240" w:lineRule="auto"/>
        <w:ind w:left="0" w:right="0" w:firstLine="0"/>
        <w:jc w:val="left"/>
      </w:pPr>
      <w:r>
        <w:rPr>
          <w:rStyle w:val="CharStyle14"/>
        </w:rPr>
        <w:t>ředitelka</w:t>
      </w:r>
    </w:p>
    <w:p>
      <w:pPr>
        <w:pStyle w:val="Style13"/>
        <w:keepNext w:val="0"/>
        <w:keepLines w:val="0"/>
        <w:widowControl w:val="0"/>
        <w:shd w:val="clear" w:color="auto" w:fill="auto"/>
        <w:bidi w:val="0"/>
        <w:spacing w:before="0" w:after="100" w:line="240" w:lineRule="auto"/>
        <w:ind w:left="0" w:right="0" w:firstLine="0"/>
        <w:jc w:val="left"/>
      </w:pPr>
      <w:r>
        <w:rPr>
          <w:rStyle w:val="CharStyle14"/>
          <w:b/>
          <w:bCs/>
          <w:i/>
          <w:iCs/>
        </w:rPr>
        <w:t>Kupující</w:t>
      </w:r>
    </w:p>
    <w:p>
      <w:pPr>
        <w:spacing w:lineRule="exact" w:line="1"/>
        <w:rPr>
          <w:sz w:val="2"/>
          <w:szCs w:val="2"/>
        </w:rPr>
      </w:pPr>
      <w:r>
        <w:br w:type="column"/>
      </w:r>
    </w:p>
    <w:p>
      <w:pPr>
        <w:pStyle w:val="Style13"/>
        <w:keepNext w:val="0"/>
        <w:keepLines w:val="0"/>
        <w:widowControl w:val="0"/>
        <w:shd w:val="clear" w:color="auto" w:fill="auto"/>
        <w:bidi w:val="0"/>
        <w:spacing w:before="0" w:after="0" w:line="202" w:lineRule="auto"/>
        <w:ind w:left="0" w:right="0" w:firstLine="0"/>
        <w:jc w:val="left"/>
        <w:rPr>
          <w:sz w:val="20"/>
          <w:szCs w:val="20"/>
        </w:rPr>
      </w:pPr>
      <w:r>
        <w:rPr>
          <w:rStyle w:val="CharStyle14"/>
        </w:rPr>
        <w:t xml:space="preserve">V Ostravě dne </w:t>
      </w:r>
      <w:r>
        <w:rPr>
          <w:rStyle w:val="CharStyle14"/>
          <w:sz w:val="20"/>
          <w:szCs w:val="20"/>
        </w:rPr>
        <w:t xml:space="preserve">Elektronicznie </w:t>
      </w:r>
      <w:r>
        <w:rPr>
          <w:rStyle w:val="CharStyle14"/>
          <w:sz w:val="44"/>
          <w:szCs w:val="44"/>
        </w:rPr>
        <w:t xml:space="preserve">Wojciech </w:t>
      </w:r>
      <w:r>
        <w:rPr>
          <w:rStyle w:val="CharStyle14"/>
          <w:sz w:val="20"/>
          <w:szCs w:val="20"/>
        </w:rPr>
        <w:t>podpisany przez</w:t>
      </w:r>
    </w:p>
    <w:p>
      <w:pPr>
        <w:pStyle w:val="Style13"/>
        <w:keepNext w:val="0"/>
        <w:keepLines w:val="0"/>
        <w:widowControl w:val="0"/>
        <w:shd w:val="clear" w:color="auto" w:fill="auto"/>
        <w:bidi w:val="0"/>
        <w:spacing w:before="0" w:after="0" w:line="240" w:lineRule="auto"/>
        <w:ind w:left="0" w:right="0" w:firstLine="0"/>
        <w:jc w:val="right"/>
        <w:rPr>
          <w:sz w:val="20"/>
          <w:szCs w:val="20"/>
        </w:rPr>
      </w:pPr>
      <w:r>
        <w:rPr>
          <w:rStyle w:val="CharStyle14"/>
          <w:sz w:val="20"/>
          <w:szCs w:val="20"/>
        </w:rPr>
        <w:t>Wojciech Boryczko</w:t>
      </w:r>
    </w:p>
    <w:p>
      <w:pPr>
        <w:pStyle w:val="Style13"/>
        <w:keepNext w:val="0"/>
        <w:keepLines w:val="0"/>
        <w:widowControl w:val="0"/>
        <w:shd w:val="clear" w:color="auto" w:fill="auto"/>
        <w:bidi w:val="0"/>
        <w:spacing w:before="0" w:after="0" w:line="180" w:lineRule="auto"/>
        <w:ind w:left="0" w:right="0" w:firstLine="0"/>
        <w:jc w:val="left"/>
        <w:rPr>
          <w:sz w:val="20"/>
          <w:szCs w:val="20"/>
        </w:rPr>
      </w:pPr>
      <w:r>
        <w:rPr>
          <w:rStyle w:val="CharStyle14"/>
          <w:sz w:val="44"/>
          <w:szCs w:val="44"/>
        </w:rPr>
        <w:t xml:space="preserve">Boryczko </w:t>
      </w:r>
      <w:r>
        <w:rPr>
          <w:rStyle w:val="CharStyle14"/>
          <w:sz w:val="20"/>
          <w:szCs w:val="20"/>
        </w:rPr>
        <w:t>Data:2025.05.19</w:t>
      </w:r>
    </w:p>
    <w:p>
      <w:pPr>
        <w:pStyle w:val="Style13"/>
        <w:keepNext w:val="0"/>
        <w:keepLines w:val="0"/>
        <w:widowControl w:val="0"/>
        <w:shd w:val="clear" w:color="auto" w:fill="auto"/>
        <w:tabs>
          <w:tab w:pos="1954" w:val="left"/>
        </w:tabs>
        <w:bidi w:val="0"/>
        <w:spacing w:before="0" w:after="200" w:line="240" w:lineRule="auto"/>
        <w:ind w:left="0" w:right="0" w:firstLine="720"/>
        <w:jc w:val="left"/>
        <w:rPr>
          <w:sz w:val="20"/>
          <w:szCs w:val="20"/>
        </w:rPr>
      </w:pPr>
      <w:r>
        <w:rPr>
          <w:rStyle w:val="CharStyle14"/>
          <w:sz w:val="20"/>
          <w:szCs w:val="20"/>
        </w:rPr>
        <w:t>'</w:t>
        <w:tab/>
        <w:t>13:38:01 +02'00'</w:t>
      </w:r>
    </w:p>
    <w:p>
      <w:pPr>
        <w:pStyle w:val="Style13"/>
        <w:keepNext w:val="0"/>
        <w:keepLines w:val="0"/>
        <w:widowControl w:val="0"/>
        <w:shd w:val="clear" w:color="auto" w:fill="auto"/>
        <w:bidi w:val="0"/>
        <w:spacing w:before="0" w:after="0" w:line="286" w:lineRule="auto"/>
        <w:ind w:left="0" w:right="0" w:firstLine="0"/>
        <w:jc w:val="left"/>
      </w:pPr>
      <w:r>
        <w:rPr>
          <w:rStyle w:val="CharStyle14"/>
        </w:rPr>
        <w:t>Wojciech Boryczko prokura</w:t>
      </w:r>
    </w:p>
    <w:p>
      <w:pPr>
        <w:pStyle w:val="Style13"/>
        <w:keepNext w:val="0"/>
        <w:keepLines w:val="0"/>
        <w:widowControl w:val="0"/>
        <w:shd w:val="clear" w:color="auto" w:fill="auto"/>
        <w:bidi w:val="0"/>
        <w:spacing w:before="0" w:after="0" w:line="286" w:lineRule="auto"/>
        <w:ind w:left="0" w:right="0" w:firstLine="0"/>
        <w:jc w:val="left"/>
        <w:sectPr>
          <w:footnotePr>
            <w:pos w:val="pageBottom"/>
            <w:numFmt w:val="decimal"/>
            <w:numRestart w:val="continuous"/>
          </w:footnotePr>
          <w:pgSz w:w="11900" w:h="16840"/>
          <w:pgMar w:top="1657" w:right="1461" w:bottom="1657" w:left="1659" w:header="0" w:footer="3" w:gutter="0"/>
          <w:cols w:num="2" w:space="915"/>
          <w:noEndnote/>
          <w:rtlGutter w:val="0"/>
          <w:docGrid w:linePitch="360"/>
        </w:sectPr>
      </w:pPr>
      <w:r>
        <w:rPr>
          <w:rStyle w:val="CharStyle14"/>
          <w:b/>
          <w:bCs/>
          <w:i/>
          <w:iCs/>
        </w:rPr>
        <w:t>Prodávající</w:t>
      </w:r>
    </w:p>
    <w:p>
      <w:pPr>
        <w:rPr>
          <w:sz w:val="2"/>
          <w:szCs w:val="2"/>
        </w:rPr>
        <w:sectPr>
          <w:footnotePr>
            <w:pos w:val="pageBottom"/>
            <w:numFmt w:val="decimal"/>
            <w:numRestart w:val="continuous"/>
          </w:footnotePr>
          <w:type w:val="continuous"/>
          <w:pgSz w:w="11900" w:h="16840"/>
          <w:pgMar w:top="1657" w:right="1461" w:bottom="1657" w:left="1659" w:header="0" w:footer="3" w:gutter="0"/>
          <w:cols w:num="2" w:space="915"/>
          <w:noEndnote/>
          <w:rtlGutter w:val="0"/>
          <w:docGrid w:linePitch="360"/>
        </w:sectPr>
      </w:pPr>
    </w:p>
    <w:p>
      <w:pPr>
        <w:pStyle w:val="Style10"/>
        <w:keepNext/>
        <w:keepLines/>
        <w:framePr w:w="1262" w:h="283" w:wrap="none" w:hAnchor="page" w:x="1435" w:y="1"/>
        <w:widowControl w:val="0"/>
        <w:shd w:val="clear" w:color="auto" w:fill="auto"/>
        <w:bidi w:val="0"/>
        <w:spacing w:before="0" w:after="0" w:line="240" w:lineRule="auto"/>
        <w:ind w:left="0" w:right="0" w:firstLine="0"/>
        <w:jc w:val="left"/>
      </w:pPr>
      <w:bookmarkStart w:id="4" w:name="bookmark4"/>
      <w:r>
        <w:rPr>
          <w:rStyle w:val="CharStyle11"/>
          <w:b/>
          <w:bCs/>
        </w:rPr>
        <w:t>Příloha č. 1</w:t>
      </w:r>
      <w:bookmarkEnd w:id="4"/>
    </w:p>
    <w:p>
      <w:pPr>
        <w:pStyle w:val="Style10"/>
        <w:keepNext/>
        <w:keepLines/>
        <w:framePr w:w="2069" w:h="283" w:wrap="none" w:hAnchor="page" w:x="3494" w:y="6"/>
        <w:widowControl w:val="0"/>
        <w:shd w:val="clear" w:color="auto" w:fill="auto"/>
        <w:bidi w:val="0"/>
        <w:spacing w:before="0" w:after="0" w:line="240" w:lineRule="auto"/>
        <w:ind w:left="0" w:right="0" w:firstLine="0"/>
        <w:jc w:val="left"/>
      </w:pPr>
      <w:bookmarkStart w:id="6" w:name="bookmark6"/>
      <w:r>
        <w:rPr>
          <w:rStyle w:val="CharStyle11"/>
          <w:b/>
          <w:bCs/>
        </w:rPr>
        <w:t>Specifikace, ceník</w:t>
      </w:r>
      <w:bookmarkEnd w:id="6"/>
    </w:p>
    <w:p>
      <w:pPr>
        <w:widowControl w:val="0"/>
        <w:spacing w:after="287" w:line="1" w:lineRule="exact"/>
      </w:pPr>
    </w:p>
    <w:p>
      <w:pPr>
        <w:widowControl w:val="0"/>
        <w:spacing w:line="1" w:lineRule="exact"/>
        <w:sectPr>
          <w:footnotePr>
            <w:pos w:val="pageBottom"/>
            <w:numFmt w:val="decimal"/>
            <w:numRestart w:val="continuous"/>
          </w:footnotePr>
          <w:pgSz w:w="11900" w:h="16840"/>
          <w:pgMar w:top="1518" w:right="1643" w:bottom="1124" w:left="1429" w:header="0" w:footer="3" w:gutter="0"/>
          <w:cols w:space="720"/>
          <w:noEndnote/>
          <w:rtlGutter w:val="0"/>
          <w:docGrid w:linePitch="360"/>
        </w:sectPr>
      </w:pPr>
    </w:p>
    <w:tbl>
      <w:tblPr>
        <w:tblOverlap w:val="never"/>
        <w:jc w:val="center"/>
        <w:tblLayout w:type="fixed"/>
      </w:tblPr>
      <w:tblGrid>
        <w:gridCol w:w="2899"/>
        <w:gridCol w:w="5918"/>
      </w:tblGrid>
      <w:tr>
        <w:trPr>
          <w:trHeight w:val="355"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Název:</w:t>
            </w:r>
          </w:p>
          <w:p>
            <w:pPr>
              <w:pStyle w:val="Style18"/>
              <w:keepNext w:val="0"/>
              <w:keepLines w:val="0"/>
              <w:widowControl w:val="0"/>
              <w:shd w:val="clear" w:color="auto" w:fill="auto"/>
              <w:bidi w:val="0"/>
              <w:spacing w:before="0" w:after="0" w:line="180" w:lineRule="auto"/>
              <w:ind w:left="0" w:right="0" w:firstLine="260"/>
              <w:jc w:val="left"/>
            </w:pPr>
            <w:r>
              <w:rPr>
                <w:rStyle w:val="CharStyle19"/>
                <w:b/>
                <w:bCs/>
              </w:rPr>
              <w:t>51</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tabs>
                <w:tab w:pos="1531" w:val="left"/>
              </w:tabs>
              <w:bidi w:val="0"/>
              <w:spacing w:before="0" w:after="0" w:line="240" w:lineRule="auto"/>
              <w:ind w:left="0" w:right="0" w:firstLine="0"/>
              <w:jc w:val="left"/>
            </w:pPr>
            <w:r>
              <w:rPr>
                <w:rStyle w:val="CharStyle19"/>
                <w:b/>
                <w:bCs/>
              </w:rPr>
              <w:t>Povlak</w:t>
              <w:tab/>
              <w:t>1</w:t>
            </w:r>
            <w:r>
              <w:rPr>
                <w:rStyle w:val="CharStyle19"/>
                <w:b/>
                <w:bCs/>
                <w:vertAlign w:val="superscript"/>
              </w:rPr>
              <w:t>1</w:t>
            </w:r>
          </w:p>
        </w:tc>
      </w:tr>
      <w:tr>
        <w:trPr>
          <w:trHeight w:val="341"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Interní označení:</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24108</w:t>
            </w:r>
          </w:p>
        </w:tc>
      </w:tr>
      <w:tr>
        <w:trPr>
          <w:trHeight w:val="336"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Obchodní název:</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Jednorázový zdravotnický povlak na přikrývku, nesterilní</w:t>
            </w:r>
          </w:p>
        </w:tc>
      </w:tr>
      <w:tr>
        <w:trPr>
          <w:trHeight w:val="341"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Třída dle MDR (2017/745/EU):</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I</w:t>
            </w:r>
          </w:p>
        </w:tc>
      </w:tr>
      <w:tr>
        <w:trPr>
          <w:trHeight w:val="346" w:hRule="exact"/>
        </w:trPr>
        <w:tc>
          <w:tcPr>
            <w:vMerge w:val="restart"/>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Cena za jednotku (ks):</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17,20 Kč bez DPH</w:t>
            </w:r>
          </w:p>
        </w:tc>
      </w:tr>
      <w:tr>
        <w:trPr>
          <w:trHeight w:val="336" w:hRule="exact"/>
        </w:trPr>
        <w:tc>
          <w:tcPr>
            <w:vMerge/>
            <w:tcBorders>
              <w:left w:val="single" w:sz="4"/>
            </w:tcBorders>
            <w:shd w:val="clear" w:color="auto" w:fill="auto"/>
            <w:vAlign w:val="center"/>
          </w:tcPr>
          <w:p>
            <w:pP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19,26 Kč vč. DPH</w:t>
            </w:r>
          </w:p>
        </w:tc>
      </w:tr>
      <w:tr>
        <w:trPr>
          <w:trHeight w:val="341" w:hRule="exact"/>
        </w:trPr>
        <w:tc>
          <w:tcPr>
            <w:tcBorders>
              <w:top w:val="single" w:sz="4"/>
              <w:left w:val="single" w:sz="4"/>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Počet ks v balení:</w:t>
            </w:r>
          </w:p>
        </w:tc>
        <w:tc>
          <w:tcPr>
            <w:tcBorders>
              <w:top w:val="single" w:sz="4"/>
              <w:left w:val="single" w:sz="4"/>
              <w:right w:val="single" w:sz="4"/>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rPr>
              <w:t>10</w:t>
            </w:r>
          </w:p>
        </w:tc>
      </w:tr>
      <w:tr>
        <w:trPr>
          <w:trHeight w:val="341" w:hRule="exact"/>
        </w:trPr>
        <w:tc>
          <w:tcPr>
            <w:vMerge w:val="restart"/>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Cena za balení:</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172,00 Kč bez DPH</w:t>
            </w:r>
          </w:p>
        </w:tc>
      </w:tr>
      <w:tr>
        <w:trPr>
          <w:trHeight w:val="355" w:hRule="exact"/>
        </w:trPr>
        <w:tc>
          <w:tcPr>
            <w:vMerge/>
            <w:tcBorders>
              <w:left w:val="single" w:sz="4"/>
              <w:bottom w:val="single" w:sz="4"/>
            </w:tcBorders>
            <w:shd w:val="clear" w:color="auto" w:fill="auto"/>
            <w:vAlign w:val="center"/>
          </w:tcPr>
          <w:p>
            <w:pPr/>
          </w:p>
        </w:tc>
        <w:tc>
          <w:tcPr>
            <w:tcBorders>
              <w:top w:val="single" w:sz="4"/>
              <w:left w:val="single" w:sz="4"/>
              <w:bottom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rPr>
              <w:t>192,64 Kč vč. DPH</w:t>
            </w:r>
          </w:p>
        </w:tc>
      </w:tr>
    </w:tbl>
    <w:p>
      <w:pPr>
        <w:widowControl w:val="0"/>
        <w:spacing w:after="419" w:line="1" w:lineRule="exact"/>
      </w:pPr>
    </w:p>
    <w:p>
      <w:pPr>
        <w:widowControl w:val="0"/>
        <w:spacing w:line="1" w:lineRule="exact"/>
      </w:pPr>
    </w:p>
    <w:tbl>
      <w:tblPr>
        <w:tblOverlap w:val="never"/>
        <w:jc w:val="center"/>
        <w:tblLayout w:type="fixed"/>
      </w:tblPr>
      <w:tblGrid>
        <w:gridCol w:w="557"/>
        <w:gridCol w:w="5093"/>
        <w:gridCol w:w="3168"/>
      </w:tblGrid>
      <w:tr>
        <w:trPr>
          <w:trHeight w:val="830"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P.č.</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1200" w:right="0" w:firstLine="0"/>
              <w:jc w:val="left"/>
            </w:pPr>
            <w:r>
              <w:rPr>
                <w:rStyle w:val="CharStyle19"/>
                <w:b/>
                <w:bCs/>
              </w:rPr>
              <w:t>Zadavatelem požadovaná hodnota</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center"/>
            </w:pPr>
            <w:r>
              <w:rPr>
                <w:rStyle w:val="CharStyle19"/>
                <w:b/>
                <w:bCs/>
              </w:rPr>
              <w:t>Účastníkem nabízená hodnota (splňuje požadavek ANO/NE, případně údaj)</w:t>
            </w:r>
          </w:p>
        </w:tc>
      </w:tr>
      <w:tr>
        <w:trPr>
          <w:trHeight w:val="802"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220"/>
              <w:jc w:val="left"/>
            </w:pPr>
            <w:r>
              <w:rPr>
                <w:rStyle w:val="CharStyle19"/>
              </w:rPr>
              <w:t>1</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 xml:space="preserve">Popis: </w:t>
            </w:r>
            <w:r>
              <w:rPr>
                <w:rStyle w:val="CharStyle19"/>
              </w:rPr>
              <w:t>Jednorázový povlak na přikrývku/deku, ze zdravotně nezávadné netkané textilie. Nesterilní. Použití: jako jednorázový povlak pro pacienta.</w:t>
            </w:r>
          </w:p>
        </w:tc>
        <w:tc>
          <w:tcPr>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center"/>
            </w:pPr>
            <w:r>
              <w:rPr>
                <w:rStyle w:val="CharStyle19"/>
              </w:rPr>
              <w:t>ano</w:t>
            </w:r>
          </w:p>
        </w:tc>
      </w:tr>
      <w:tr>
        <w:trPr>
          <w:trHeight w:val="456"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220"/>
              <w:jc w:val="left"/>
            </w:pPr>
            <w:r>
              <w:rPr>
                <w:rStyle w:val="CharStyle19"/>
              </w:rPr>
              <w:t>2</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 xml:space="preserve">Materiál: </w:t>
            </w:r>
            <w:r>
              <w:rPr>
                <w:rStyle w:val="CharStyle19"/>
              </w:rPr>
              <w:t>Polypropylén 100 %</w:t>
            </w:r>
          </w:p>
        </w:tc>
        <w:tc>
          <w:tcPr>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center"/>
            </w:pPr>
            <w:r>
              <w:rPr>
                <w:rStyle w:val="CharStyle19"/>
                <w:i/>
                <w:iCs/>
              </w:rPr>
              <w:t>PP</w:t>
            </w:r>
          </w:p>
        </w:tc>
      </w:tr>
      <w:tr>
        <w:trPr>
          <w:trHeight w:val="418"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220"/>
              <w:jc w:val="left"/>
            </w:pPr>
            <w:r>
              <w:rPr>
                <w:rStyle w:val="CharStyle19"/>
              </w:rPr>
              <w:t>3</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 xml:space="preserve">Rozměr: </w:t>
            </w:r>
            <w:r>
              <w:rPr>
                <w:rStyle w:val="CharStyle19"/>
              </w:rPr>
              <w:t>min. 195 max. 210 cm x 160 cm, 20 g/m</w:t>
            </w:r>
            <w:r>
              <w:rPr>
                <w:rStyle w:val="CharStyle19"/>
                <w:vertAlign w:val="superscript"/>
              </w:rPr>
              <w:t>2</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center"/>
            </w:pPr>
            <w:r>
              <w:rPr>
                <w:rStyle w:val="CharStyle19"/>
                <w:i/>
                <w:iCs/>
              </w:rPr>
              <w:t>210x160 cm, 25 g/m</w:t>
            </w:r>
            <w:r>
              <w:rPr>
                <w:rStyle w:val="CharStyle19"/>
                <w:i/>
                <w:iCs/>
                <w:vertAlign w:val="superscript"/>
              </w:rPr>
              <w:t>2</w:t>
            </w:r>
          </w:p>
        </w:tc>
      </w:tr>
      <w:tr>
        <w:trPr>
          <w:trHeight w:val="370" w:hRule="exact"/>
        </w:trPr>
        <w:tc>
          <w:tcPr>
            <w:tcBorders>
              <w:top w:val="single" w:sz="4"/>
              <w:left w:val="single" w:sz="4"/>
            </w:tcBorders>
            <w:shd w:val="clear" w:color="auto" w:fill="auto"/>
            <w:vAlign w:val="top"/>
          </w:tcPr>
          <w:p>
            <w:pPr>
              <w:pStyle w:val="Style18"/>
              <w:keepNext w:val="0"/>
              <w:keepLines w:val="0"/>
              <w:widowControl w:val="0"/>
              <w:shd w:val="clear" w:color="auto" w:fill="auto"/>
              <w:bidi w:val="0"/>
              <w:spacing w:before="0" w:after="0" w:line="240" w:lineRule="auto"/>
              <w:ind w:left="0" w:right="0" w:firstLine="220"/>
              <w:jc w:val="left"/>
            </w:pPr>
            <w:r>
              <w:rPr>
                <w:rStyle w:val="CharStyle19"/>
              </w:rPr>
              <w:t>4</w:t>
            </w:r>
          </w:p>
        </w:tc>
        <w:tc>
          <w:tcPr>
            <w:tcBorders>
              <w:top w:val="single" w:sz="4"/>
              <w:left w:val="single" w:sz="4"/>
            </w:tcBorders>
            <w:shd w:val="clear" w:color="auto" w:fill="auto"/>
            <w:vAlign w:val="top"/>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 xml:space="preserve">Balení: </w:t>
            </w:r>
            <w:r>
              <w:rPr>
                <w:rStyle w:val="CharStyle19"/>
              </w:rPr>
              <w:t>5 -10 ks v balení.</w:t>
            </w:r>
          </w:p>
        </w:tc>
        <w:tc>
          <w:tcPr>
            <w:tcBorders>
              <w:top w:val="single" w:sz="4"/>
              <w:left w:val="single" w:sz="4"/>
              <w:right w:val="single" w:sz="4"/>
            </w:tcBorders>
            <w:shd w:val="clear" w:color="auto" w:fill="auto"/>
            <w:vAlign w:val="top"/>
          </w:tcPr>
          <w:p>
            <w:pPr>
              <w:pStyle w:val="Style18"/>
              <w:keepNext w:val="0"/>
              <w:keepLines w:val="0"/>
              <w:widowControl w:val="0"/>
              <w:shd w:val="clear" w:color="auto" w:fill="auto"/>
              <w:bidi w:val="0"/>
              <w:spacing w:before="80" w:after="0" w:line="240" w:lineRule="auto"/>
              <w:ind w:left="0" w:right="0" w:firstLine="0"/>
              <w:jc w:val="center"/>
            </w:pPr>
            <w:r>
              <w:rPr>
                <w:rStyle w:val="CharStyle19"/>
                <w:i/>
                <w:iCs/>
              </w:rPr>
              <w:t>10 ks</w:t>
            </w:r>
          </w:p>
        </w:tc>
      </w:tr>
      <w:tr>
        <w:trPr>
          <w:trHeight w:val="384" w:hRule="exact"/>
        </w:trPr>
        <w:tc>
          <w:tcPr>
            <w:tcBorders>
              <w:top w:val="single" w:sz="4"/>
              <w:left w:val="single" w:sz="4"/>
              <w:bottom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220"/>
              <w:jc w:val="left"/>
            </w:pPr>
            <w:r>
              <w:rPr>
                <w:rStyle w:val="CharStyle19"/>
              </w:rPr>
              <w:t>5</w:t>
            </w:r>
          </w:p>
        </w:tc>
        <w:tc>
          <w:tcPr>
            <w:tcBorders>
              <w:top w:val="single" w:sz="4"/>
              <w:left w:val="single" w:sz="4"/>
              <w:bottom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pPr>
            <w:r>
              <w:rPr>
                <w:rStyle w:val="CharStyle19"/>
                <w:b/>
                <w:bCs/>
              </w:rPr>
              <w:t xml:space="preserve">Barva: </w:t>
            </w:r>
            <w:r>
              <w:rPr>
                <w:rStyle w:val="CharStyle19"/>
              </w:rPr>
              <w:t>modrá, zelená nebo bílá.</w:t>
            </w:r>
          </w:p>
        </w:tc>
        <w:tc>
          <w:tcPr>
            <w:tcBorders>
              <w:top w:val="single" w:sz="4"/>
              <w:left w:val="single" w:sz="4"/>
              <w:bottom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center"/>
            </w:pPr>
            <w:r>
              <w:rPr>
                <w:rStyle w:val="CharStyle19"/>
                <w:i/>
                <w:iCs/>
              </w:rPr>
              <w:t>zelená</w:t>
            </w:r>
          </w:p>
        </w:tc>
      </w:tr>
    </w:tbl>
    <w:p>
      <w:pPr>
        <w:sectPr>
          <w:footnotePr>
            <w:pos w:val="pageBottom"/>
            <w:numFmt w:val="decimal"/>
            <w:numRestart w:val="continuous"/>
          </w:footnotePr>
          <w:type w:val="continuous"/>
          <w:pgSz w:w="11900" w:h="16840"/>
          <w:pgMar w:top="1518" w:right="1643" w:bottom="1518" w:left="1429" w:header="0" w:footer="3" w:gutter="0"/>
          <w:cols w:space="720"/>
          <w:noEndnote/>
          <w:rtlGutter w:val="0"/>
          <w:docGrid w:linePitch="360"/>
        </w:sectPr>
      </w:pPr>
    </w:p>
    <w:p>
      <w:pPr>
        <w:pStyle w:val="Style10"/>
        <w:keepNext/>
        <w:keepLines/>
        <w:widowControl w:val="0"/>
        <w:shd w:val="clear" w:color="auto" w:fill="auto"/>
        <w:bidi w:val="0"/>
        <w:spacing w:before="0" w:after="0" w:line="240" w:lineRule="auto"/>
        <w:ind w:left="0" w:right="0" w:firstLine="0"/>
        <w:jc w:val="left"/>
        <w:rPr>
          <w:sz w:val="20"/>
          <w:szCs w:val="20"/>
        </w:rPr>
      </w:pPr>
      <w:bookmarkStart w:id="8" w:name="bookmark8"/>
      <w:r>
        <w:rPr>
          <w:rStyle w:val="CharStyle11"/>
          <w:b/>
          <w:bCs/>
          <w:sz w:val="20"/>
          <w:szCs w:val="20"/>
        </w:rPr>
        <w:t>Příloha č. 2</w:t>
      </w:r>
      <w:bookmarkEnd w:id="8"/>
    </w:p>
    <w:p>
      <w:pPr>
        <w:pStyle w:val="Style10"/>
        <w:keepNext/>
        <w:keepLines/>
        <w:widowControl w:val="0"/>
        <w:shd w:val="clear" w:color="auto" w:fill="auto"/>
        <w:bidi w:val="0"/>
        <w:spacing w:before="0" w:after="0" w:line="240" w:lineRule="auto"/>
        <w:ind w:left="0" w:right="0" w:firstLine="0"/>
        <w:jc w:val="left"/>
        <w:rPr>
          <w:sz w:val="20"/>
          <w:szCs w:val="20"/>
        </w:rPr>
        <w:sectPr>
          <w:footerReference w:type="default" r:id="rId7"/>
          <w:footnotePr>
            <w:pos w:val="pageBottom"/>
            <w:numFmt w:val="decimal"/>
            <w:numRestart w:val="continuous"/>
          </w:footnotePr>
          <w:pgSz w:w="16840" w:h="11900" w:orient="landscape"/>
          <w:pgMar w:top="1461" w:right="11955" w:bottom="908" w:left="1428" w:header="1033" w:footer="480" w:gutter="0"/>
          <w:cols w:num="2" w:space="672"/>
          <w:noEndnote/>
          <w:rtlGutter w:val="0"/>
          <w:docGrid w:linePitch="360"/>
        </w:sectPr>
      </w:pPr>
      <w:bookmarkStart w:id="10" w:name="bookmark10"/>
      <w:r>
        <w:rPr>
          <w:rStyle w:val="CharStyle11"/>
          <w:b/>
          <w:bCs/>
          <w:sz w:val="20"/>
          <w:szCs w:val="20"/>
        </w:rPr>
        <w:t>Místa plnění</w:t>
      </w:r>
      <w:bookmarkEnd w:id="10"/>
    </w:p>
    <w:p>
      <w:pPr>
        <w:widowControl w:val="0"/>
        <w:spacing w:before="98" w:after="98"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461" w:right="0" w:bottom="908" w:left="0" w:header="0" w:footer="3" w:gutter="0"/>
          <w:cols w:space="720"/>
          <w:noEndnote/>
          <w:rtlGutter w:val="0"/>
          <w:docGrid w:linePitch="360"/>
        </w:sectPr>
      </w:pPr>
    </w:p>
    <w:tbl>
      <w:tblPr>
        <w:tblOverlap w:val="never"/>
        <w:jc w:val="center"/>
        <w:tblLayout w:type="fixed"/>
      </w:tblPr>
      <w:tblGrid>
        <w:gridCol w:w="552"/>
        <w:gridCol w:w="2208"/>
        <w:gridCol w:w="4258"/>
        <w:gridCol w:w="1670"/>
        <w:gridCol w:w="1402"/>
        <w:gridCol w:w="2558"/>
      </w:tblGrid>
      <w:tr>
        <w:trPr>
          <w:trHeight w:val="557"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P.č.</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Výjezdová základna</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Adresa</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ind w:left="0" w:right="0" w:firstLine="0"/>
              <w:jc w:val="left"/>
              <w:rPr>
                <w:sz w:val="20"/>
                <w:szCs w:val="20"/>
              </w:rPr>
            </w:pPr>
            <w:r>
              <w:rPr>
                <w:rStyle w:val="CharStyle19"/>
                <w:sz w:val="20"/>
                <w:szCs w:val="20"/>
              </w:rPr>
              <w:t>Kontaktní osoba</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Tel.</w:t>
            </w:r>
          </w:p>
        </w:tc>
        <w:tc>
          <w:tcPr>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E-mail</w:t>
            </w:r>
          </w:p>
        </w:tc>
      </w:tr>
      <w:tr>
        <w:trPr>
          <w:trHeight w:val="542"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1</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Znojmo</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Pražská 59A, Znojmo</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86"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r>
              <w:rPr>
                <w:rStyle w:val="CharStyle19"/>
                <w:sz w:val="20"/>
                <w:szCs w:val="20"/>
              </w:rPr>
              <w:t xml:space="preserve"> </w:t>
            </w:r>
            <w:r>
              <w:rPr>
                <w:rStyle w:val="CharStyle19"/>
                <w:sz w:val="20"/>
                <w:szCs w:val="20"/>
                <w:shd w:val="clear" w:color="auto" w:fill="000000"/>
              </w:rPr>
              <w:t>​...</w:t>
            </w:r>
            <w:r>
              <w:rPr>
                <w:rStyle w:val="CharStyle19"/>
                <w:spacing w:val="1"/>
                <w:sz w:val="20"/>
                <w:szCs w:val="20"/>
                <w:shd w:val="clear" w:color="auto" w:fill="000000"/>
              </w:rPr>
              <w:t>......</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p>
        </w:tc>
        <w:tc>
          <w:tcPr>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1"/>
                <w:sz w:val="20"/>
                <w:szCs w:val="20"/>
                <w:shd w:val="clear" w:color="auto" w:fill="000000"/>
                <w:lang w:val="en-US" w:eastAsia="en-US" w:bidi="en-US"/>
              </w:rPr>
              <w:t>........................</w:t>
            </w:r>
            <w:r>
              <w:rPr>
                <w:rStyle w:val="CharStyle19"/>
                <w:spacing w:val="2"/>
                <w:sz w:val="20"/>
                <w:szCs w:val="20"/>
                <w:shd w:val="clear" w:color="auto" w:fill="000000"/>
                <w:lang w:val="en-US" w:eastAsia="en-US" w:bidi="en-US"/>
              </w:rPr>
              <w:t>..............</w:t>
            </w:r>
          </w:p>
        </w:tc>
      </w:tr>
      <w:tr>
        <w:trPr>
          <w:trHeight w:val="302"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2</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Kyjov</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Strážovská 1459/2a</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r>
              <w:rPr>
                <w:rStyle w:val="CharStyle19"/>
                <w:sz w:val="20"/>
                <w:szCs w:val="20"/>
                <w:shd w:val="clear" w:color="auto" w:fill="000000"/>
              </w:rPr>
              <w:t>​</w:t>
            </w:r>
            <w:r>
              <w:rPr>
                <w:rStyle w:val="CharStyle19"/>
                <w:spacing w:val="1"/>
                <w:sz w:val="20"/>
                <w:szCs w:val="20"/>
                <w:shd w:val="clear" w:color="auto" w:fill="000000"/>
              </w:rPr>
              <w:t>...</w:t>
            </w:r>
            <w:r>
              <w:rPr>
                <w:rStyle w:val="CharStyle19"/>
                <w:spacing w:val="2"/>
                <w:sz w:val="20"/>
                <w:szCs w:val="20"/>
                <w:shd w:val="clear" w:color="auto" w:fill="000000"/>
              </w:rPr>
              <w:t>.......</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u w:val="single"/>
                <w:shd w:val="clear" w:color="auto" w:fill="000000"/>
                <w:lang w:val="en-US" w:eastAsia="en-US" w:bidi="en-US"/>
              </w:rPr>
              <w:t>.......................</w:t>
            </w:r>
            <w:r>
              <w:rPr>
                <w:rStyle w:val="CharStyle19"/>
                <w:spacing w:val="1"/>
                <w:sz w:val="20"/>
                <w:szCs w:val="20"/>
                <w:u w:val="single"/>
                <w:shd w:val="clear" w:color="auto" w:fill="000000"/>
                <w:lang w:val="en-US" w:eastAsia="en-US" w:bidi="en-US"/>
              </w:rPr>
              <w:t>...........</w:t>
            </w:r>
          </w:p>
        </w:tc>
      </w:tr>
      <w:tr>
        <w:trPr>
          <w:trHeight w:val="542"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3</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ind w:left="0" w:right="0" w:firstLine="0"/>
              <w:jc w:val="left"/>
              <w:rPr>
                <w:sz w:val="20"/>
                <w:szCs w:val="20"/>
              </w:rPr>
            </w:pPr>
            <w:r>
              <w:rPr>
                <w:rStyle w:val="CharStyle19"/>
                <w:sz w:val="20"/>
                <w:szCs w:val="20"/>
              </w:rPr>
              <w:t>Brno - Bohunice (centrální sklad)</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Kamenice 798/1 d, Brno</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both"/>
              <w:rPr>
                <w:sz w:val="20"/>
                <w:szCs w:val="20"/>
              </w:rPr>
            </w:pPr>
            <w:r>
              <w:rPr>
                <w:rStyle w:val="CharStyle19"/>
                <w:spacing w:val="1"/>
                <w:sz w:val="20"/>
                <w:szCs w:val="20"/>
                <w:shd w:val="clear" w:color="auto" w:fill="000000"/>
              </w:rPr>
              <w:t>.........</w:t>
            </w:r>
            <w:r>
              <w:rPr>
                <w:rStyle w:val="CharStyle19"/>
                <w:spacing w:val="2"/>
                <w:sz w:val="20"/>
                <w:szCs w:val="20"/>
                <w:shd w:val="clear" w:color="auto" w:fill="000000"/>
              </w:rPr>
              <w:t>....</w:t>
            </w:r>
            <w:r>
              <w:rPr>
                <w:rStyle w:val="CharStyle19"/>
                <w:sz w:val="20"/>
                <w:szCs w:val="20"/>
                <w:shd w:val="clear" w:color="auto" w:fill="000000"/>
              </w:rPr>
              <w:t>​</w:t>
            </w:r>
            <w:r>
              <w:rPr>
                <w:rStyle w:val="CharStyle19"/>
                <w:spacing w:val="3"/>
                <w:sz w:val="20"/>
                <w:szCs w:val="20"/>
                <w:shd w:val="clear" w:color="auto" w:fill="000000"/>
              </w:rPr>
              <w:t>.</w:t>
            </w:r>
            <w:r>
              <w:rPr>
                <w:rStyle w:val="CharStyle19"/>
                <w:spacing w:val="4"/>
                <w:sz w:val="20"/>
                <w:szCs w:val="20"/>
                <w:shd w:val="clear" w:color="auto" w:fill="000000"/>
              </w:rPr>
              <w:t>.........</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p>
        </w:tc>
        <w:tc>
          <w:tcPr>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1"/>
                <w:sz w:val="20"/>
                <w:szCs w:val="20"/>
                <w:u w:val="single"/>
                <w:shd w:val="clear" w:color="auto" w:fill="000000"/>
                <w:lang w:val="en-US" w:eastAsia="en-US" w:bidi="en-US"/>
              </w:rPr>
              <w:t>.........</w:t>
            </w:r>
            <w:r>
              <w:rPr>
                <w:rStyle w:val="CharStyle19"/>
                <w:spacing w:val="2"/>
                <w:sz w:val="20"/>
                <w:szCs w:val="20"/>
                <w:u w:val="single"/>
                <w:shd w:val="clear" w:color="auto" w:fill="000000"/>
                <w:lang w:val="en-US" w:eastAsia="en-US" w:bidi="en-US"/>
              </w:rPr>
              <w:t>.......................</w:t>
            </w:r>
          </w:p>
        </w:tc>
      </w:tr>
      <w:tr>
        <w:trPr>
          <w:trHeight w:val="298"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4</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Blansko</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K. H. Máchy 17, Blansko</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both"/>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r>
              <w:rPr>
                <w:rStyle w:val="CharStyle19"/>
                <w:sz w:val="20"/>
                <w:szCs w:val="20"/>
                <w:shd w:val="clear" w:color="auto" w:fill="000000"/>
              </w:rPr>
              <w:t>​</w:t>
            </w:r>
            <w:r>
              <w:rPr>
                <w:rStyle w:val="CharStyle19"/>
                <w:spacing w:val="1"/>
                <w:sz w:val="20"/>
                <w:szCs w:val="20"/>
                <w:shd w:val="clear" w:color="auto" w:fill="000000"/>
              </w:rPr>
              <w:t>...</w:t>
            </w:r>
            <w:r>
              <w:rPr>
                <w:rStyle w:val="CharStyle19"/>
                <w:spacing w:val="2"/>
                <w:sz w:val="20"/>
                <w:szCs w:val="20"/>
                <w:shd w:val="clear" w:color="auto" w:fill="000000"/>
              </w:rPr>
              <w:t>.......</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u w:val="single"/>
                <w:shd w:val="clear" w:color="auto" w:fill="000000"/>
                <w:lang w:val="en-US" w:eastAsia="en-US" w:bidi="en-US"/>
              </w:rPr>
              <w:t>............</w:t>
            </w:r>
            <w:r>
              <w:rPr>
                <w:rStyle w:val="CharStyle19"/>
                <w:spacing w:val="1"/>
                <w:sz w:val="20"/>
                <w:szCs w:val="20"/>
                <w:u w:val="single"/>
                <w:shd w:val="clear" w:color="auto" w:fill="000000"/>
                <w:lang w:val="en-US" w:eastAsia="en-US" w:bidi="en-US"/>
              </w:rPr>
              <w:t>......................</w:t>
            </w:r>
          </w:p>
        </w:tc>
      </w:tr>
      <w:tr>
        <w:trPr>
          <w:trHeight w:val="293"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5</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Boskovice</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Rovná 2646/1 a Boskovice</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1"/>
                <w:sz w:val="20"/>
                <w:szCs w:val="20"/>
                <w:shd w:val="clear" w:color="auto" w:fill="000000"/>
              </w:rPr>
              <w:t>...</w:t>
            </w:r>
            <w:r>
              <w:rPr>
                <w:rStyle w:val="CharStyle19"/>
                <w:spacing w:val="2"/>
                <w:sz w:val="20"/>
                <w:szCs w:val="20"/>
                <w:shd w:val="clear" w:color="auto" w:fill="000000"/>
              </w:rPr>
              <w:t>.......</w:t>
            </w:r>
            <w:r>
              <w:rPr>
                <w:rStyle w:val="CharStyle19"/>
                <w:sz w:val="20"/>
                <w:szCs w:val="20"/>
                <w:shd w:val="clear" w:color="auto" w:fill="000000"/>
              </w:rPr>
              <w:t>​</w:t>
            </w:r>
            <w:r>
              <w:rPr>
                <w:rStyle w:val="CharStyle19"/>
                <w:spacing w:val="5"/>
                <w:sz w:val="20"/>
                <w:szCs w:val="20"/>
                <w:shd w:val="clear" w:color="auto" w:fill="000000"/>
              </w:rPr>
              <w:t>.....</w:t>
            </w:r>
            <w:r>
              <w:rPr>
                <w:rStyle w:val="CharStyle19"/>
                <w:spacing w:val="6"/>
                <w:sz w:val="20"/>
                <w:szCs w:val="20"/>
                <w:shd w:val="clear" w:color="auto" w:fill="000000"/>
              </w:rPr>
              <w:t>.</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p>
        </w:tc>
        <w:tc>
          <w:tcPr>
            <w:tcBorders>
              <w:top w:val="single" w:sz="4"/>
              <w:left w:val="single" w:sz="4"/>
              <w:righ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10"/>
                <w:sz w:val="20"/>
                <w:szCs w:val="20"/>
                <w:shd w:val="clear" w:color="auto" w:fill="000000"/>
              </w:rPr>
              <w:t>.</w:t>
            </w:r>
            <w:r>
              <w:rPr>
                <w:rStyle w:val="CharStyle19"/>
                <w:spacing w:val="11"/>
                <w:sz w:val="20"/>
                <w:szCs w:val="20"/>
                <w:shd w:val="clear" w:color="auto" w:fill="000000"/>
              </w:rPr>
              <w:t>...</w:t>
            </w:r>
            <w:r>
              <w:rPr>
                <w:rStyle w:val="CharStyle19"/>
                <w:sz w:val="20"/>
                <w:szCs w:val="20"/>
                <w:shd w:val="clear" w:color="auto" w:fill="000000"/>
              </w:rPr>
              <w:t>​..​</w:t>
            </w:r>
            <w:r>
              <w:rPr>
                <w:rStyle w:val="CharStyle19"/>
                <w:spacing w:val="27"/>
                <w:sz w:val="20"/>
                <w:szCs w:val="20"/>
                <w:shd w:val="clear" w:color="auto" w:fill="000000"/>
              </w:rPr>
              <w:t>.</w:t>
            </w:r>
            <w:r>
              <w:rPr>
                <w:rStyle w:val="CharStyle19"/>
                <w:spacing w:val="28"/>
                <w:sz w:val="20"/>
                <w:szCs w:val="20"/>
                <w:shd w:val="clear" w:color="auto" w:fill="000000"/>
              </w:rPr>
              <w:t>.</w:t>
            </w:r>
            <w:r>
              <w:rPr>
                <w:rStyle w:val="CharStyle19"/>
                <w:sz w:val="20"/>
                <w:szCs w:val="20"/>
                <w:shd w:val="clear" w:color="auto" w:fill="000000"/>
              </w:rPr>
              <w:t>​</w:t>
            </w:r>
            <w:r>
              <w:rPr>
                <w:rStyle w:val="CharStyle19"/>
                <w:spacing w:val="27"/>
                <w:sz w:val="20"/>
                <w:szCs w:val="20"/>
                <w:shd w:val="clear" w:color="auto" w:fill="000000"/>
              </w:rPr>
              <w:t>.</w:t>
            </w:r>
            <w:r>
              <w:rPr>
                <w:rStyle w:val="CharStyle19"/>
                <w:spacing w:val="28"/>
                <w:sz w:val="20"/>
                <w:szCs w:val="20"/>
                <w:shd w:val="clear" w:color="auto" w:fill="000000"/>
              </w:rPr>
              <w:t>.</w:t>
            </w:r>
            <w:r>
              <w:rPr>
                <w:rStyle w:val="CharStyle19"/>
                <w:sz w:val="20"/>
                <w:szCs w:val="20"/>
                <w:shd w:val="clear" w:color="auto" w:fill="000000"/>
              </w:rPr>
              <w:t>​</w:t>
            </w:r>
            <w:r>
              <w:rPr>
                <w:rStyle w:val="CharStyle19"/>
                <w:spacing w:val="27"/>
                <w:sz w:val="20"/>
                <w:szCs w:val="20"/>
                <w:shd w:val="clear" w:color="auto" w:fill="000000"/>
              </w:rPr>
              <w:t>.</w:t>
            </w:r>
            <w:r>
              <w:rPr>
                <w:rStyle w:val="CharStyle19"/>
                <w:spacing w:val="28"/>
                <w:sz w:val="20"/>
                <w:szCs w:val="20"/>
                <w:shd w:val="clear" w:color="auto" w:fill="000000"/>
              </w:rPr>
              <w:t>.</w:t>
            </w:r>
            <w:r>
              <w:rPr>
                <w:rStyle w:val="CharStyle19"/>
                <w:sz w:val="20"/>
                <w:szCs w:val="20"/>
                <w:u w:val="single"/>
                <w:shd w:val="clear" w:color="auto" w:fill="000000"/>
              </w:rPr>
              <w:t>​</w:t>
            </w:r>
            <w:r>
              <w:rPr>
                <w:rStyle w:val="CharStyle19"/>
                <w:spacing w:val="11"/>
                <w:sz w:val="20"/>
                <w:szCs w:val="20"/>
                <w:u w:val="single"/>
                <w:shd w:val="clear" w:color="auto" w:fill="000000"/>
              </w:rPr>
              <w:t>.</w:t>
            </w:r>
            <w:r>
              <w:rPr>
                <w:rStyle w:val="CharStyle19"/>
                <w:spacing w:val="12"/>
                <w:sz w:val="20"/>
                <w:szCs w:val="20"/>
                <w:u w:val="single"/>
                <w:shd w:val="clear" w:color="auto" w:fill="000000"/>
              </w:rPr>
              <w:t>..</w:t>
            </w:r>
            <w:r>
              <w:rPr>
                <w:rStyle w:val="CharStyle19"/>
                <w:spacing w:val="1"/>
                <w:sz w:val="20"/>
                <w:szCs w:val="20"/>
                <w:u w:val="single"/>
                <w:shd w:val="clear" w:color="auto" w:fill="000000"/>
              </w:rPr>
              <w:t>..</w:t>
            </w:r>
            <w:r>
              <w:rPr>
                <w:rStyle w:val="CharStyle19"/>
                <w:spacing w:val="2"/>
                <w:sz w:val="20"/>
                <w:szCs w:val="20"/>
                <w:u w:val="single"/>
                <w:shd w:val="clear" w:color="auto" w:fill="000000"/>
              </w:rPr>
              <w:t>.............</w:t>
            </w:r>
          </w:p>
        </w:tc>
      </w:tr>
      <w:tr>
        <w:trPr>
          <w:trHeight w:val="552"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6</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Břeclav</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U nemocnice 1, Břeclav</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ind w:left="0" w:right="0" w:firstLine="0"/>
              <w:jc w:val="left"/>
              <w:rPr>
                <w:sz w:val="20"/>
                <w:szCs w:val="20"/>
              </w:rPr>
            </w:pPr>
            <w:r>
              <w:rPr>
                <w:rStyle w:val="CharStyle19"/>
                <w:spacing w:val="3"/>
                <w:sz w:val="20"/>
                <w:szCs w:val="20"/>
                <w:shd w:val="clear" w:color="auto" w:fill="000000"/>
              </w:rPr>
              <w:t>...</w:t>
            </w:r>
            <w:r>
              <w:rPr>
                <w:rStyle w:val="CharStyle19"/>
                <w:spacing w:val="4"/>
                <w:sz w:val="20"/>
                <w:szCs w:val="20"/>
                <w:shd w:val="clear" w:color="auto" w:fill="000000"/>
              </w:rPr>
              <w:t>..........</w:t>
            </w:r>
            <w:r>
              <w:rPr>
                <w:rStyle w:val="CharStyle19"/>
                <w:sz w:val="20"/>
                <w:szCs w:val="20"/>
              </w:rPr>
              <w:t xml:space="preserve"> </w:t>
            </w:r>
            <w:r>
              <w:rPr>
                <w:rStyle w:val="CharStyle19"/>
                <w:sz w:val="20"/>
                <w:szCs w:val="20"/>
                <w:shd w:val="clear" w:color="auto" w:fill="000000"/>
              </w:rPr>
              <w:t>​</w:t>
            </w:r>
            <w:r>
              <w:rPr>
                <w:rStyle w:val="CharStyle19"/>
                <w:spacing w:val="1"/>
                <w:sz w:val="20"/>
                <w:szCs w:val="20"/>
                <w:shd w:val="clear" w:color="auto" w:fill="000000"/>
              </w:rPr>
              <w:t>..........</w:t>
            </w:r>
            <w:r>
              <w:rPr>
                <w:rStyle w:val="CharStyle19"/>
                <w:spacing w:val="2"/>
                <w:sz w:val="20"/>
                <w:szCs w:val="20"/>
                <w:shd w:val="clear" w:color="auto" w:fill="000000"/>
              </w:rPr>
              <w:t>...</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1"/>
                <w:sz w:val="20"/>
                <w:szCs w:val="20"/>
                <w:shd w:val="clear" w:color="auto" w:fill="000000"/>
              </w:rPr>
              <w:t>..</w:t>
            </w:r>
            <w:r>
              <w:rPr>
                <w:rStyle w:val="CharStyle19"/>
                <w:spacing w:val="2"/>
                <w:sz w:val="20"/>
                <w:szCs w:val="20"/>
                <w:shd w:val="clear" w:color="auto" w:fill="000000"/>
              </w:rPr>
              <w:t>...............</w:t>
            </w:r>
          </w:p>
        </w:tc>
        <w:tc>
          <w:tcPr>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u w:val="single"/>
                <w:shd w:val="clear" w:color="auto" w:fill="000000"/>
                <w:lang w:val="en-US" w:eastAsia="en-US" w:bidi="en-US"/>
              </w:rPr>
              <w:t>.....................</w:t>
            </w:r>
            <w:r>
              <w:rPr>
                <w:rStyle w:val="CharStyle19"/>
                <w:spacing w:val="1"/>
                <w:sz w:val="20"/>
                <w:szCs w:val="20"/>
                <w:u w:val="single"/>
                <w:shd w:val="clear" w:color="auto" w:fill="000000"/>
                <w:lang w:val="en-US" w:eastAsia="en-US" w:bidi="en-US"/>
              </w:rPr>
              <w:t>............</w:t>
            </w:r>
          </w:p>
        </w:tc>
      </w:tr>
      <w:tr>
        <w:trPr>
          <w:trHeight w:val="298" w:hRule="exact"/>
        </w:trPr>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7</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Vyškov</w:t>
            </w:r>
          </w:p>
        </w:tc>
        <w:tc>
          <w:tcPr>
            <w:tcBorders>
              <w:top w:val="single" w:sz="4"/>
              <w:left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Purkyňova 36, Vyškov</w:t>
            </w:r>
          </w:p>
        </w:tc>
        <w:tc>
          <w:tcPr>
            <w:vMerge w:val="restart"/>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shd w:val="clear" w:color="auto" w:fill="000000"/>
              </w:rPr>
              <w:t>..</w:t>
            </w:r>
            <w:r>
              <w:rPr>
                <w:rStyle w:val="CharStyle19"/>
                <w:spacing w:val="1"/>
                <w:sz w:val="20"/>
                <w:szCs w:val="20"/>
                <w:shd w:val="clear" w:color="auto" w:fill="000000"/>
              </w:rPr>
              <w:t>..............</w:t>
            </w:r>
            <w:r>
              <w:rPr>
                <w:rStyle w:val="CharStyle19"/>
                <w:sz w:val="20"/>
                <w:szCs w:val="20"/>
                <w:shd w:val="clear" w:color="auto" w:fill="000000"/>
              </w:rPr>
              <w:t>​</w:t>
            </w:r>
            <w:r>
              <w:rPr>
                <w:rStyle w:val="CharStyle19"/>
                <w:spacing w:val="3"/>
                <w:sz w:val="20"/>
                <w:szCs w:val="20"/>
                <w:shd w:val="clear" w:color="auto" w:fill="000000"/>
              </w:rPr>
              <w:t>...</w:t>
            </w:r>
            <w:r>
              <w:rPr>
                <w:rStyle w:val="CharStyle19"/>
                <w:spacing w:val="4"/>
                <w:sz w:val="20"/>
                <w:szCs w:val="20"/>
                <w:shd w:val="clear" w:color="auto" w:fill="000000"/>
              </w:rPr>
              <w:t>.....</w:t>
            </w:r>
          </w:p>
        </w:tc>
        <w:tc>
          <w:tcPr>
            <w:vMerge w:val="restart"/>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2"/>
                <w:sz w:val="20"/>
                <w:szCs w:val="20"/>
                <w:shd w:val="clear" w:color="auto" w:fill="000000"/>
              </w:rPr>
              <w:t>....</w:t>
            </w:r>
            <w:r>
              <w:rPr>
                <w:rStyle w:val="CharStyle19"/>
                <w:spacing w:val="3"/>
                <w:sz w:val="20"/>
                <w:szCs w:val="20"/>
                <w:shd w:val="clear" w:color="auto" w:fill="000000"/>
              </w:rPr>
              <w:t>.............</w:t>
            </w:r>
          </w:p>
        </w:tc>
        <w:tc>
          <w:tcPr>
            <w:vMerge w:val="restart"/>
            <w:tcBorders>
              <w:top w:val="single" w:sz="4"/>
              <w:left w:val="single" w:sz="4"/>
              <w:righ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pacing w:val="1"/>
                <w:sz w:val="20"/>
                <w:szCs w:val="20"/>
                <w:u w:val="single"/>
                <w:shd w:val="clear" w:color="auto" w:fill="000000"/>
                <w:lang w:val="en-US" w:eastAsia="en-US" w:bidi="en-US"/>
              </w:rPr>
              <w:t>................</w:t>
            </w:r>
            <w:r>
              <w:rPr>
                <w:rStyle w:val="CharStyle19"/>
                <w:spacing w:val="2"/>
                <w:sz w:val="20"/>
                <w:szCs w:val="20"/>
                <w:u w:val="single"/>
                <w:shd w:val="clear" w:color="auto" w:fill="000000"/>
                <w:lang w:val="en-US" w:eastAsia="en-US" w:bidi="en-US"/>
              </w:rPr>
              <w:t>...................</w:t>
            </w:r>
          </w:p>
        </w:tc>
      </w:tr>
      <w:tr>
        <w:trPr>
          <w:trHeight w:val="542" w:hRule="exact"/>
        </w:trPr>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8</w:t>
            </w:r>
          </w:p>
        </w:tc>
        <w:tc>
          <w:tcPr>
            <w:tcBorders>
              <w:top w:val="single" w:sz="4"/>
              <w:left w:val="single" w:sz="4"/>
            </w:tcBorders>
            <w:shd w:val="clear" w:color="auto" w:fill="auto"/>
            <w:vAlign w:val="center"/>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Slavkov</w:t>
            </w:r>
          </w:p>
        </w:tc>
        <w:tc>
          <w:tcPr>
            <w:tcBorders>
              <w:top w:val="single" w:sz="4"/>
              <w:left w:val="single" w:sz="4"/>
            </w:tcBorders>
            <w:shd w:val="clear" w:color="auto" w:fill="auto"/>
            <w:vAlign w:val="top"/>
          </w:tcPr>
          <w:p>
            <w:pPr>
              <w:pStyle w:val="Style18"/>
              <w:keepNext w:val="0"/>
              <w:keepLines w:val="0"/>
              <w:widowControl w:val="0"/>
              <w:shd w:val="clear" w:color="auto" w:fill="auto"/>
              <w:bidi w:val="0"/>
              <w:spacing w:before="0" w:after="0"/>
              <w:ind w:left="0" w:right="0" w:firstLine="0"/>
              <w:jc w:val="left"/>
              <w:rPr>
                <w:sz w:val="20"/>
                <w:szCs w:val="20"/>
              </w:rPr>
            </w:pPr>
            <w:r>
              <w:rPr>
                <w:rStyle w:val="CharStyle19"/>
                <w:sz w:val="20"/>
                <w:szCs w:val="20"/>
              </w:rPr>
              <w:t>Československé armády 1865, Slavkov u Brna</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right w:val="single" w:sz="4"/>
            </w:tcBorders>
            <w:shd w:val="clear" w:color="auto" w:fill="auto"/>
            <w:vAlign w:val="center"/>
          </w:tcPr>
          <w:p>
            <w:pPr/>
          </w:p>
        </w:tc>
      </w:tr>
      <w:tr>
        <w:trPr>
          <w:trHeight w:val="312" w:hRule="exact"/>
        </w:trPr>
        <w:tc>
          <w:tcPr>
            <w:tcBorders>
              <w:top w:val="single" w:sz="4"/>
              <w:left w:val="single" w:sz="4"/>
              <w:bottom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9</w:t>
            </w:r>
          </w:p>
        </w:tc>
        <w:tc>
          <w:tcPr>
            <w:tcBorders>
              <w:top w:val="single" w:sz="4"/>
              <w:left w:val="single" w:sz="4"/>
              <w:bottom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Bučovice</w:t>
            </w:r>
          </w:p>
        </w:tc>
        <w:tc>
          <w:tcPr>
            <w:tcBorders>
              <w:top w:val="single" w:sz="4"/>
              <w:left w:val="single" w:sz="4"/>
              <w:bottom w:val="single" w:sz="4"/>
            </w:tcBorders>
            <w:shd w:val="clear" w:color="auto" w:fill="auto"/>
            <w:vAlign w:val="bottom"/>
          </w:tcPr>
          <w:p>
            <w:pPr>
              <w:pStyle w:val="Style18"/>
              <w:keepNext w:val="0"/>
              <w:keepLines w:val="0"/>
              <w:widowControl w:val="0"/>
              <w:shd w:val="clear" w:color="auto" w:fill="auto"/>
              <w:bidi w:val="0"/>
              <w:spacing w:before="0" w:after="0" w:line="240" w:lineRule="auto"/>
              <w:ind w:left="0" w:right="0" w:firstLine="0"/>
              <w:jc w:val="left"/>
              <w:rPr>
                <w:sz w:val="20"/>
                <w:szCs w:val="20"/>
              </w:rPr>
            </w:pPr>
            <w:r>
              <w:rPr>
                <w:rStyle w:val="CharStyle19"/>
                <w:sz w:val="20"/>
                <w:szCs w:val="20"/>
              </w:rPr>
              <w:t>Dvorská 1191, Bučovice</w:t>
            </w:r>
          </w:p>
        </w:tc>
        <w:tc>
          <w:tcPr>
            <w:vMerge/>
            <w:tcBorders>
              <w:left w:val="single" w:sz="4"/>
              <w:bottom w:val="single" w:sz="4"/>
            </w:tcBorders>
            <w:shd w:val="clear" w:color="auto" w:fill="auto"/>
            <w:vAlign w:val="center"/>
          </w:tcPr>
          <w:p>
            <w:pPr/>
          </w:p>
        </w:tc>
        <w:tc>
          <w:tcPr>
            <w:vMerge/>
            <w:tcBorders>
              <w:left w:val="single" w:sz="4"/>
              <w:bottom w:val="single" w:sz="4"/>
            </w:tcBorders>
            <w:shd w:val="clear" w:color="auto" w:fill="auto"/>
            <w:vAlign w:val="center"/>
          </w:tcPr>
          <w:p>
            <w:pPr/>
          </w:p>
        </w:tc>
        <w:tc>
          <w:tcPr>
            <w:vMerge/>
            <w:tcBorders>
              <w:left w:val="single" w:sz="4"/>
              <w:bottom w:val="single" w:sz="4"/>
              <w:right w:val="single" w:sz="4"/>
            </w:tcBorders>
            <w:shd w:val="clear" w:color="auto" w:fill="auto"/>
            <w:vAlign w:val="center"/>
          </w:tcPr>
          <w:p>
            <w:pPr/>
          </w:p>
        </w:tc>
      </w:tr>
    </w:tbl>
    <w:p>
      <w:pPr>
        <w:widowControl w:val="0"/>
        <w:spacing w:after="4079" w:line="1" w:lineRule="exact"/>
      </w:pPr>
    </w:p>
    <w:p>
      <w:pPr>
        <w:pStyle w:val="Style7"/>
        <w:keepNext w:val="0"/>
        <w:keepLines w:val="0"/>
        <w:widowControl w:val="0"/>
        <w:shd w:val="clear" w:color="auto" w:fill="auto"/>
        <w:bidi w:val="0"/>
        <w:spacing w:before="0" w:after="0" w:line="240" w:lineRule="auto"/>
        <w:ind w:left="0" w:right="0" w:firstLine="0"/>
        <w:jc w:val="left"/>
      </w:pPr>
      <w:r>
        <w:rPr>
          <w:rStyle w:val="CharStyle8"/>
          <w:i/>
          <w:iCs/>
        </w:rPr>
        <w:t>Veřejná zakázka 16_2025 DNS ZSM: Jednorázové lůžkoviny - část 2</w:t>
      </w:r>
    </w:p>
    <w:sectPr>
      <w:footnotePr>
        <w:pos w:val="pageBottom"/>
        <w:numFmt w:val="decimal"/>
        <w:numRestart w:val="continuous"/>
      </w:footnotePr>
      <w:type w:val="continuous"/>
      <w:pgSz w:w="16840" w:h="11900" w:orient="landscape"/>
      <w:pgMar w:top="1461" w:right="2744" w:bottom="908" w:left="142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975995</wp:posOffset>
              </wp:positionH>
              <wp:positionV relativeFrom="page">
                <wp:posOffset>9994900</wp:posOffset>
              </wp:positionV>
              <wp:extent cx="3401695" cy="115570"/>
              <wp:wrapNone/>
              <wp:docPr id="1" name="Shape 1"/>
              <a:graphic xmlns:a="http://schemas.openxmlformats.org/drawingml/2006/main">
                <a:graphicData uri="http://schemas.microsoft.com/office/word/2010/wordprocessingShape">
                  <wps:wsp>
                    <wps:cNvSpPr txBox="1"/>
                    <wps:spPr>
                      <a:xfrm>
                        <a:ext cx="3401695" cy="1155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Style w:val="CharStyle5"/>
                              <w:rFonts w:ascii="Arial" w:eastAsia="Arial" w:hAnsi="Arial" w:cs="Arial"/>
                              <w:i/>
                              <w:iCs/>
                              <w:sz w:val="17"/>
                              <w:szCs w:val="17"/>
                            </w:rPr>
                            <w:t>Veřejná zakázka 16_2025 DNS ZSM: Jednorázové lůžkoviny - část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850000000000009pt;margin-top:787.pt;width:267.85000000000002pt;height:9.09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Style w:val="CharStyle5"/>
                        <w:rFonts w:ascii="Arial" w:eastAsia="Arial" w:hAnsi="Arial" w:cs="Arial"/>
                        <w:i/>
                        <w:iCs/>
                        <w:sz w:val="17"/>
                        <w:szCs w:val="17"/>
                      </w:rPr>
                      <w:t>Veřejná zakázka 16_2025 DNS ZSM: Jednorázové lůžkoviny - část 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954405</wp:posOffset>
              </wp:positionH>
              <wp:positionV relativeFrom="page">
                <wp:posOffset>9991725</wp:posOffset>
              </wp:positionV>
              <wp:extent cx="3401695" cy="113030"/>
              <wp:wrapNone/>
              <wp:docPr id="3" name="Shape 3"/>
              <a:graphic xmlns:a="http://schemas.openxmlformats.org/drawingml/2006/main">
                <a:graphicData uri="http://schemas.microsoft.com/office/word/2010/wordprocessingShape">
                  <wps:wsp>
                    <wps:cNvSpPr txBox="1"/>
                    <wps:spPr>
                      <a:xfrm>
                        <a:ext cx="3401695" cy="1130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Style w:val="CharStyle5"/>
                              <w:rFonts w:ascii="Arial" w:eastAsia="Arial" w:hAnsi="Arial" w:cs="Arial"/>
                              <w:i/>
                              <w:iCs/>
                              <w:sz w:val="17"/>
                              <w:szCs w:val="17"/>
                            </w:rPr>
                            <w:t>Veřejná zakázka 16_2025 DNS ZSM: Jednorázové lůžkoviny- část 2</w:t>
                          </w:r>
                        </w:p>
                      </w:txbxContent>
                    </wps:txbx>
                    <wps:bodyPr wrap="none" lIns="0" tIns="0" rIns="0" bIns="0">
                      <a:spAutoFit/>
                    </wps:bodyPr>
                  </wps:wsp>
                </a:graphicData>
              </a:graphic>
            </wp:anchor>
          </w:drawing>
        </mc:Choice>
        <mc:Fallback>
          <w:pict>
            <v:shape id="_x0000_s1029" type="#_x0000_t202" style="position:absolute;margin-left:75.150000000000006pt;margin-top:786.75pt;width:267.85000000000002pt;height:8.90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Style w:val="CharStyle5"/>
                        <w:rFonts w:ascii="Arial" w:eastAsia="Arial" w:hAnsi="Arial" w:cs="Arial"/>
                        <w:i/>
                        <w:iCs/>
                        <w:sz w:val="17"/>
                        <w:szCs w:val="17"/>
                      </w:rPr>
                      <w:t>Veřejná zakázka 16_2025 DNS ZSM: Jednorázové lůžkoviny- část 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64"/>
      <w:szCs w:val="64"/>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 (2)_"/>
    <w:basedOn w:val="DefaultParagraphFont"/>
    <w:link w:val="Style7"/>
    <w:rPr>
      <w:rFonts w:ascii="Arial" w:eastAsia="Arial" w:hAnsi="Arial" w:cs="Arial"/>
      <w:b w:val="0"/>
      <w:bCs w:val="0"/>
      <w:i/>
      <w:iCs/>
      <w:smallCaps w:val="0"/>
      <w:strike w:val="0"/>
      <w:sz w:val="17"/>
      <w:szCs w:val="17"/>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2"/>
      <w:szCs w:val="22"/>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6">
    <w:name w:val="Titulek tabulky_"/>
    <w:basedOn w:val="DefaultParagraphFont"/>
    <w:link w:val="Style15"/>
    <w:rPr>
      <w:rFonts w:ascii="Arial" w:eastAsia="Arial" w:hAnsi="Arial" w:cs="Arial"/>
      <w:b/>
      <w:bCs/>
      <w:i/>
      <w:iCs/>
      <w:smallCaps w:val="0"/>
      <w:strike w:val="0"/>
      <w:sz w:val="19"/>
      <w:szCs w:val="19"/>
      <w:u w:val="none"/>
    </w:rPr>
  </w:style>
  <w:style w:type="character" w:customStyle="1" w:styleId="CharStyle19">
    <w:name w:val="Jiné_"/>
    <w:basedOn w:val="DefaultParagraphFont"/>
    <w:link w:val="Style18"/>
    <w:rPr>
      <w:rFonts w:ascii="Arial" w:eastAsia="Arial" w:hAnsi="Arial" w:cs="Arial"/>
      <w:b w:val="0"/>
      <w:bCs w:val="0"/>
      <w:i w:val="0"/>
      <w:iCs w:val="0"/>
      <w:smallCaps w:val="0"/>
      <w:strike w:val="0"/>
      <w:sz w:val="19"/>
      <w:szCs w:val="19"/>
      <w:u w:val="none"/>
    </w:rPr>
  </w:style>
  <w:style w:type="character" w:customStyle="1" w:styleId="CharStyle45">
    <w:name w:val="Základní text (3)_"/>
    <w:basedOn w:val="DefaultParagraphFont"/>
    <w:link w:val="Style44"/>
    <w:rPr>
      <w:rFonts w:ascii="Arial" w:eastAsia="Arial" w:hAnsi="Arial" w:cs="Arial"/>
      <w:b w:val="0"/>
      <w:bCs w:val="0"/>
      <w:i w:val="0"/>
      <w:iCs w:val="0"/>
      <w:smallCaps w:val="0"/>
      <w:strike w:val="0"/>
      <w:sz w:val="36"/>
      <w:szCs w:val="36"/>
      <w:u w:val="none"/>
    </w:rPr>
  </w:style>
  <w:style w:type="paragraph" w:customStyle="1" w:styleId="Style2">
    <w:name w:val="Nadpis #1"/>
    <w:basedOn w:val="Normal"/>
    <w:link w:val="CharStyle3"/>
    <w:pPr>
      <w:widowControl w:val="0"/>
      <w:shd w:val="clear" w:color="auto" w:fill="auto"/>
      <w:spacing w:after="60"/>
      <w:ind w:right="660"/>
      <w:jc w:val="right"/>
      <w:outlineLvl w:val="0"/>
    </w:pPr>
    <w:rPr>
      <w:rFonts w:ascii="Arial" w:eastAsia="Arial" w:hAnsi="Arial" w:cs="Arial"/>
      <w:b w:val="0"/>
      <w:bCs w:val="0"/>
      <w:i w:val="0"/>
      <w:iCs w:val="0"/>
      <w:smallCaps w:val="0"/>
      <w:strike w:val="0"/>
      <w:sz w:val="64"/>
      <w:szCs w:val="64"/>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2)"/>
    <w:basedOn w:val="Normal"/>
    <w:link w:val="CharStyle8"/>
    <w:pPr>
      <w:widowControl w:val="0"/>
      <w:shd w:val="clear" w:color="auto" w:fill="auto"/>
      <w:spacing w:after="20"/>
    </w:pPr>
    <w:rPr>
      <w:rFonts w:ascii="Arial" w:eastAsia="Arial" w:hAnsi="Arial" w:cs="Arial"/>
      <w:b w:val="0"/>
      <w:bCs w:val="0"/>
      <w:i/>
      <w:iCs/>
      <w:smallCaps w:val="0"/>
      <w:strike w:val="0"/>
      <w:sz w:val="17"/>
      <w:szCs w:val="17"/>
      <w:u w:val="none"/>
    </w:rPr>
  </w:style>
  <w:style w:type="paragraph" w:customStyle="1" w:styleId="Style10">
    <w:name w:val="Nadpis #2"/>
    <w:basedOn w:val="Normal"/>
    <w:link w:val="CharStyle11"/>
    <w:pPr>
      <w:widowControl w:val="0"/>
      <w:shd w:val="clear" w:color="auto" w:fill="auto"/>
      <w:outlineLvl w:val="1"/>
    </w:pPr>
    <w:rPr>
      <w:rFonts w:ascii="Arial" w:eastAsia="Arial" w:hAnsi="Arial" w:cs="Arial"/>
      <w:b/>
      <w:bCs/>
      <w:i w:val="0"/>
      <w:iCs w:val="0"/>
      <w:smallCaps w:val="0"/>
      <w:strike w:val="0"/>
      <w:sz w:val="22"/>
      <w:szCs w:val="22"/>
      <w:u w:val="none"/>
    </w:rPr>
  </w:style>
  <w:style w:type="paragraph" w:customStyle="1" w:styleId="Style13">
    <w:name w:val="Základní text"/>
    <w:basedOn w:val="Normal"/>
    <w:link w:val="CharStyle14"/>
    <w:pPr>
      <w:widowControl w:val="0"/>
      <w:shd w:val="clear" w:color="auto" w:fill="auto"/>
      <w:spacing w:after="220" w:line="276" w:lineRule="auto"/>
    </w:pPr>
    <w:rPr>
      <w:rFonts w:ascii="Arial" w:eastAsia="Arial" w:hAnsi="Arial" w:cs="Arial"/>
      <w:b w:val="0"/>
      <w:bCs w:val="0"/>
      <w:i w:val="0"/>
      <w:iCs w:val="0"/>
      <w:smallCaps w:val="0"/>
      <w:strike w:val="0"/>
      <w:sz w:val="19"/>
      <w:szCs w:val="19"/>
      <w:u w:val="none"/>
    </w:rPr>
  </w:style>
  <w:style w:type="paragraph" w:customStyle="1" w:styleId="Style15">
    <w:name w:val="Titulek tabulky"/>
    <w:basedOn w:val="Normal"/>
    <w:link w:val="CharStyle16"/>
    <w:pPr>
      <w:widowControl w:val="0"/>
      <w:shd w:val="clear" w:color="auto" w:fill="auto"/>
    </w:pPr>
    <w:rPr>
      <w:rFonts w:ascii="Arial" w:eastAsia="Arial" w:hAnsi="Arial" w:cs="Arial"/>
      <w:b/>
      <w:bCs/>
      <w:i/>
      <w:iCs/>
      <w:smallCaps w:val="0"/>
      <w:strike w:val="0"/>
      <w:sz w:val="19"/>
      <w:szCs w:val="19"/>
      <w:u w:val="none"/>
    </w:rPr>
  </w:style>
  <w:style w:type="paragraph" w:customStyle="1" w:styleId="Style18">
    <w:name w:val="Jiné"/>
    <w:basedOn w:val="Normal"/>
    <w:link w:val="CharStyle19"/>
    <w:pPr>
      <w:widowControl w:val="0"/>
      <w:shd w:val="clear" w:color="auto" w:fill="auto"/>
      <w:spacing w:after="220" w:line="276" w:lineRule="auto"/>
    </w:pPr>
    <w:rPr>
      <w:rFonts w:ascii="Arial" w:eastAsia="Arial" w:hAnsi="Arial" w:cs="Arial"/>
      <w:b w:val="0"/>
      <w:bCs w:val="0"/>
      <w:i w:val="0"/>
      <w:iCs w:val="0"/>
      <w:smallCaps w:val="0"/>
      <w:strike w:val="0"/>
      <w:sz w:val="19"/>
      <w:szCs w:val="19"/>
      <w:u w:val="none"/>
    </w:rPr>
  </w:style>
  <w:style w:type="paragraph" w:customStyle="1" w:styleId="Style44">
    <w:name w:val="Základní text (3)"/>
    <w:basedOn w:val="Normal"/>
    <w:link w:val="CharStyle45"/>
    <w:pPr>
      <w:widowControl w:val="0"/>
      <w:shd w:val="clear" w:color="auto" w:fill="auto"/>
      <w:spacing w:after="160"/>
    </w:pPr>
    <w:rPr>
      <w:rFonts w:ascii="Arial" w:eastAsia="Arial" w:hAnsi="Arial" w:cs="Arial"/>
      <w:b w:val="0"/>
      <w:bCs w:val="0"/>
      <w:i w:val="0"/>
      <w:iCs w:val="0"/>
      <w:smallCaps w:val="0"/>
      <w:strike w:val="0"/>
      <w:sz w:val="36"/>
      <w:szCs w:val="3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