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8D4B" w14:textId="77777777" w:rsidR="002F507D" w:rsidRDefault="00E512D7" w:rsidP="00A34890">
      <w:pPr>
        <w:pStyle w:val="Podnadpis"/>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A34890">
        <w:rPr>
          <w:rFonts w:ascii="Tahoma" w:hAnsi="Tahoma" w:cs="Tahoma"/>
          <w:color w:val="auto"/>
          <w:sz w:val="22"/>
          <w:szCs w:val="22"/>
        </w:rPr>
        <w:t xml:space="preserve">na výkon </w:t>
      </w:r>
      <w:r w:rsidR="00A34890" w:rsidRPr="00A34890">
        <w:rPr>
          <w:rFonts w:ascii="Tahoma" w:hAnsi="Tahoma" w:cs="Tahoma"/>
          <w:color w:val="auto"/>
          <w:sz w:val="22"/>
          <w:szCs w:val="22"/>
        </w:rPr>
        <w:t>inženýrské činnosti (</w:t>
      </w:r>
      <w:r w:rsidR="00F407D5" w:rsidRPr="00A34890">
        <w:rPr>
          <w:rFonts w:ascii="Tahoma" w:hAnsi="Tahoma" w:cs="Tahoma"/>
          <w:color w:val="auto"/>
          <w:sz w:val="22"/>
          <w:szCs w:val="22"/>
        </w:rPr>
        <w:t>TDS</w:t>
      </w:r>
      <w:r w:rsidR="00A34890" w:rsidRPr="00A34890">
        <w:rPr>
          <w:rFonts w:ascii="Tahoma" w:hAnsi="Tahoma" w:cs="Tahoma"/>
          <w:color w:val="auto"/>
          <w:sz w:val="22"/>
          <w:szCs w:val="22"/>
        </w:rPr>
        <w:t>)</w:t>
      </w:r>
      <w:r w:rsidR="002F507D">
        <w:rPr>
          <w:rFonts w:ascii="Tahoma" w:hAnsi="Tahoma" w:cs="Tahoma"/>
          <w:color w:val="auto"/>
          <w:sz w:val="22"/>
          <w:szCs w:val="22"/>
        </w:rPr>
        <w:t xml:space="preserve"> </w:t>
      </w:r>
      <w:r w:rsidR="00A34890" w:rsidRPr="00A34890">
        <w:rPr>
          <w:rFonts w:ascii="Tahoma" w:hAnsi="Tahoma" w:cs="Tahoma"/>
          <w:color w:val="auto"/>
          <w:sz w:val="22"/>
          <w:szCs w:val="22"/>
        </w:rPr>
        <w:t xml:space="preserve">při realizaci stavby </w:t>
      </w:r>
    </w:p>
    <w:p w14:paraId="5889005D" w14:textId="55DB24BF" w:rsidR="00A34890" w:rsidRPr="00A34890" w:rsidRDefault="00532A94" w:rsidP="00532A94">
      <w:pPr>
        <w:pStyle w:val="Podnadpis"/>
        <w:rPr>
          <w:rFonts w:ascii="Tahoma" w:hAnsi="Tahoma" w:cs="Tahoma"/>
          <w:color w:val="auto"/>
          <w:sz w:val="22"/>
          <w:szCs w:val="22"/>
        </w:rPr>
      </w:pPr>
      <w:r w:rsidRPr="00532A94">
        <w:rPr>
          <w:rFonts w:ascii="Tahoma" w:hAnsi="Tahoma" w:cs="Tahoma"/>
          <w:color w:val="auto"/>
          <w:sz w:val="22"/>
          <w:szCs w:val="22"/>
        </w:rPr>
        <w:t xml:space="preserve">Rekonstrukce </w:t>
      </w:r>
      <w:r w:rsidR="002A791D">
        <w:rPr>
          <w:rFonts w:ascii="Tahoma" w:hAnsi="Tahoma" w:cs="Tahoma"/>
          <w:color w:val="auto"/>
          <w:sz w:val="22"/>
          <w:szCs w:val="22"/>
        </w:rPr>
        <w:t xml:space="preserve">obloukové </w:t>
      </w:r>
      <w:r w:rsidRPr="00532A94">
        <w:rPr>
          <w:rFonts w:ascii="Tahoma" w:hAnsi="Tahoma" w:cs="Tahoma"/>
          <w:color w:val="auto"/>
          <w:sz w:val="22"/>
          <w:szCs w:val="22"/>
        </w:rPr>
        <w:t xml:space="preserve">střechy </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5AF20B54" w14:textId="77777777" w:rsidR="00A34890" w:rsidRPr="00431E6E" w:rsidRDefault="00A34890" w:rsidP="00A34890">
      <w:pPr>
        <w:numPr>
          <w:ilvl w:val="0"/>
          <w:numId w:val="10"/>
        </w:numPr>
        <w:tabs>
          <w:tab w:val="clear" w:pos="720"/>
        </w:tabs>
        <w:spacing w:before="240"/>
        <w:ind w:left="357" w:hanging="357"/>
        <w:jc w:val="both"/>
        <w:rPr>
          <w:rFonts w:ascii="Tahoma" w:hAnsi="Tahoma" w:cs="Tahoma"/>
          <w:b/>
          <w:sz w:val="22"/>
          <w:szCs w:val="22"/>
        </w:rPr>
      </w:pPr>
      <w:r>
        <w:rPr>
          <w:rFonts w:ascii="Tahoma" w:hAnsi="Tahoma" w:cs="Tahoma"/>
          <w:b/>
          <w:sz w:val="22"/>
          <w:szCs w:val="22"/>
        </w:rPr>
        <w:t>Gymnázium a Obchodní akademie, Orlová, příspěvková organizace</w:t>
      </w:r>
    </w:p>
    <w:p w14:paraId="12A969BD"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se sídlem:</w:t>
      </w:r>
      <w:r>
        <w:rPr>
          <w:rFonts w:ascii="Tahoma" w:hAnsi="Tahoma" w:cs="Tahoma"/>
          <w:sz w:val="22"/>
          <w:szCs w:val="22"/>
        </w:rPr>
        <w:tab/>
        <w:t>Masarykova třída 1313, Lutyně, 735 14 orlová</w:t>
      </w:r>
      <w:r w:rsidRPr="00431E6E">
        <w:rPr>
          <w:rFonts w:ascii="Tahoma" w:hAnsi="Tahoma" w:cs="Tahoma"/>
          <w:sz w:val="22"/>
          <w:szCs w:val="22"/>
        </w:rPr>
        <w:tab/>
      </w:r>
    </w:p>
    <w:p w14:paraId="21572487" w14:textId="6D77CB3F" w:rsidR="00A34890" w:rsidRPr="00431E6E" w:rsidRDefault="00A34890" w:rsidP="0029737C">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zastoupen</w:t>
      </w:r>
      <w:r>
        <w:rPr>
          <w:rFonts w:ascii="Tahoma" w:hAnsi="Tahoma" w:cs="Tahoma"/>
          <w:sz w:val="22"/>
          <w:szCs w:val="22"/>
        </w:rPr>
        <w:t>a</w:t>
      </w:r>
      <w:r w:rsidRPr="00431E6E">
        <w:rPr>
          <w:rFonts w:ascii="Tahoma" w:hAnsi="Tahoma" w:cs="Tahoma"/>
          <w:sz w:val="22"/>
          <w:szCs w:val="22"/>
        </w:rPr>
        <w:t>:</w:t>
      </w:r>
      <w:r>
        <w:rPr>
          <w:rFonts w:ascii="Tahoma" w:hAnsi="Tahoma" w:cs="Tahoma"/>
          <w:sz w:val="22"/>
          <w:szCs w:val="22"/>
        </w:rPr>
        <w:tab/>
        <w:t>Mgr. Pavlem Kubínkem, ředitelem</w:t>
      </w:r>
      <w:r w:rsidRPr="00431E6E">
        <w:rPr>
          <w:rFonts w:ascii="Tahoma" w:hAnsi="Tahoma" w:cs="Tahoma"/>
          <w:sz w:val="22"/>
          <w:szCs w:val="22"/>
        </w:rPr>
        <w:tab/>
      </w:r>
    </w:p>
    <w:p w14:paraId="2721012C"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IČO:</w:t>
      </w:r>
      <w:r w:rsidRPr="00431E6E">
        <w:rPr>
          <w:rFonts w:ascii="Tahoma" w:hAnsi="Tahoma" w:cs="Tahoma"/>
          <w:sz w:val="22"/>
          <w:szCs w:val="22"/>
        </w:rPr>
        <w:tab/>
      </w:r>
      <w:r>
        <w:rPr>
          <w:rFonts w:ascii="Tahoma" w:hAnsi="Tahoma" w:cs="Tahoma"/>
          <w:sz w:val="22"/>
          <w:szCs w:val="22"/>
        </w:rPr>
        <w:t>62331540</w:t>
      </w:r>
    </w:p>
    <w:p w14:paraId="3836BC51"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DIČ:</w:t>
      </w:r>
      <w:r w:rsidRPr="00431E6E">
        <w:rPr>
          <w:rFonts w:ascii="Tahoma" w:hAnsi="Tahoma" w:cs="Tahoma"/>
          <w:sz w:val="22"/>
          <w:szCs w:val="22"/>
        </w:rPr>
        <w:tab/>
      </w:r>
      <w:r>
        <w:rPr>
          <w:rFonts w:ascii="Tahoma" w:hAnsi="Tahoma" w:cs="Tahoma"/>
          <w:sz w:val="22"/>
          <w:szCs w:val="22"/>
        </w:rPr>
        <w:t>nejsme plátci DPH</w:t>
      </w:r>
    </w:p>
    <w:p w14:paraId="26E34645"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 xml:space="preserve">bankovní spojení: </w:t>
      </w:r>
      <w:r w:rsidRPr="00431E6E">
        <w:rPr>
          <w:rFonts w:ascii="Tahoma" w:hAnsi="Tahoma" w:cs="Tahoma"/>
          <w:sz w:val="22"/>
          <w:szCs w:val="22"/>
        </w:rPr>
        <w:tab/>
      </w:r>
      <w:r>
        <w:rPr>
          <w:rFonts w:ascii="Tahoma" w:hAnsi="Tahoma" w:cs="Tahoma"/>
          <w:sz w:val="22"/>
          <w:szCs w:val="22"/>
        </w:rPr>
        <w:t>ČSOB Orlová</w:t>
      </w:r>
    </w:p>
    <w:p w14:paraId="780B8C8B" w14:textId="77777777" w:rsidR="00A34890" w:rsidRPr="00431E6E" w:rsidRDefault="00A34890" w:rsidP="00A34890">
      <w:pPr>
        <w:numPr>
          <w:ilvl w:val="12"/>
          <w:numId w:val="0"/>
        </w:numPr>
        <w:tabs>
          <w:tab w:val="left" w:pos="2552"/>
        </w:tabs>
        <w:ind w:left="357"/>
        <w:jc w:val="both"/>
        <w:rPr>
          <w:rFonts w:ascii="Tahoma" w:hAnsi="Tahoma" w:cs="Tahoma"/>
          <w:sz w:val="22"/>
          <w:szCs w:val="22"/>
        </w:rPr>
      </w:pPr>
      <w:r w:rsidRPr="00431E6E">
        <w:rPr>
          <w:rFonts w:ascii="Tahoma" w:hAnsi="Tahoma" w:cs="Tahoma"/>
          <w:sz w:val="22"/>
          <w:szCs w:val="22"/>
        </w:rPr>
        <w:t xml:space="preserve">číslo účtu: </w:t>
      </w:r>
      <w:r w:rsidRPr="00431E6E">
        <w:rPr>
          <w:rFonts w:ascii="Tahoma" w:hAnsi="Tahoma" w:cs="Tahoma"/>
          <w:sz w:val="22"/>
          <w:szCs w:val="22"/>
        </w:rPr>
        <w:tab/>
      </w:r>
      <w:r w:rsidRPr="00B46974">
        <w:rPr>
          <w:rFonts w:ascii="Tahoma" w:hAnsi="Tahoma" w:cs="Tahoma"/>
          <w:sz w:val="22"/>
          <w:szCs w:val="22"/>
        </w:rPr>
        <w:t>160986761/0300</w:t>
      </w:r>
    </w:p>
    <w:p w14:paraId="6E1BBBA3" w14:textId="77777777" w:rsidR="00A34890" w:rsidRPr="00431E6E" w:rsidRDefault="00A34890" w:rsidP="00A34890">
      <w:pPr>
        <w:spacing w:before="120"/>
        <w:ind w:left="357"/>
        <w:jc w:val="both"/>
        <w:rPr>
          <w:rFonts w:ascii="Tahoma" w:hAnsi="Tahoma" w:cs="Tahoma"/>
          <w:sz w:val="22"/>
          <w:szCs w:val="22"/>
        </w:rPr>
      </w:pPr>
      <w:r w:rsidRPr="00431E6E">
        <w:rPr>
          <w:rFonts w:ascii="Tahoma" w:hAnsi="Tahoma" w:cs="Tahoma"/>
          <w:sz w:val="22"/>
          <w:szCs w:val="22"/>
        </w:rPr>
        <w:t>Osoba oprávněná jednat ve věcech realizace stavby:</w:t>
      </w:r>
    </w:p>
    <w:p w14:paraId="38FA41E5" w14:textId="77777777" w:rsidR="00A34890" w:rsidRPr="000A73E5" w:rsidRDefault="00A34890" w:rsidP="00A34890">
      <w:pPr>
        <w:pStyle w:val="dajeOSmluvnStran"/>
        <w:numPr>
          <w:ilvl w:val="0"/>
          <w:numId w:val="0"/>
        </w:numPr>
        <w:spacing w:before="60"/>
        <w:ind w:left="357"/>
        <w:jc w:val="both"/>
        <w:rPr>
          <w:rFonts w:ascii="Tahoma" w:hAnsi="Tahoma" w:cs="Tahoma"/>
          <w:sz w:val="22"/>
          <w:szCs w:val="22"/>
        </w:rPr>
      </w:pPr>
      <w:r w:rsidRPr="008710A4">
        <w:rPr>
          <w:rFonts w:ascii="Tahoma" w:hAnsi="Tahoma" w:cs="Tahoma"/>
          <w:sz w:val="22"/>
          <w:szCs w:val="22"/>
        </w:rPr>
        <w:t>Miloš Dulava, tel.: </w:t>
      </w:r>
      <w:r>
        <w:rPr>
          <w:rFonts w:ascii="Tahoma" w:hAnsi="Tahoma" w:cs="Tahoma"/>
          <w:sz w:val="22"/>
          <w:szCs w:val="22"/>
        </w:rPr>
        <w:t>733 598 895</w:t>
      </w:r>
    </w:p>
    <w:p w14:paraId="73BEB465" w14:textId="77777777" w:rsidR="00A34890" w:rsidRDefault="00A34890" w:rsidP="00A34890">
      <w:pPr>
        <w:spacing w:before="120"/>
        <w:ind w:left="357"/>
        <w:jc w:val="both"/>
        <w:rPr>
          <w:rFonts w:ascii="Tahoma" w:hAnsi="Tahoma" w:cs="Tahoma"/>
          <w:iCs/>
          <w:sz w:val="22"/>
          <w:szCs w:val="22"/>
        </w:rPr>
      </w:pPr>
      <w:r w:rsidRPr="002820E4">
        <w:rPr>
          <w:rFonts w:ascii="Tahoma" w:hAnsi="Tahoma" w:cs="Tahoma"/>
          <w:iCs/>
          <w:sz w:val="22"/>
          <w:szCs w:val="22"/>
        </w:rPr>
        <w:t xml:space="preserve"> (</w:t>
      </w:r>
      <w:r w:rsidRPr="003055D2">
        <w:rPr>
          <w:rFonts w:ascii="Tahoma" w:hAnsi="Tahoma" w:cs="Tahoma"/>
          <w:sz w:val="22"/>
          <w:szCs w:val="22"/>
        </w:rPr>
        <w:t>dále</w:t>
      </w:r>
      <w:r w:rsidRPr="002820E4">
        <w:rPr>
          <w:rFonts w:ascii="Tahoma" w:hAnsi="Tahoma" w:cs="Tahoma"/>
          <w:iCs/>
          <w:sz w:val="22"/>
          <w:szCs w:val="22"/>
        </w:rPr>
        <w:t xml:space="preserve"> jen „příkazce“)</w:t>
      </w:r>
    </w:p>
    <w:p w14:paraId="21B7AB93" w14:textId="77777777" w:rsidR="00A03CBC" w:rsidRPr="002820E4" w:rsidRDefault="00A03CBC" w:rsidP="00A03CBC">
      <w:pPr>
        <w:numPr>
          <w:ilvl w:val="0"/>
          <w:numId w:val="10"/>
        </w:numPr>
        <w:tabs>
          <w:tab w:val="clear" w:pos="720"/>
        </w:tabs>
        <w:spacing w:before="240"/>
        <w:ind w:left="357" w:hanging="357"/>
        <w:jc w:val="both"/>
        <w:rPr>
          <w:rFonts w:ascii="Tahoma" w:hAnsi="Tahoma" w:cs="Tahoma"/>
          <w:sz w:val="22"/>
          <w:szCs w:val="22"/>
        </w:rPr>
      </w:pPr>
      <w:r>
        <w:rPr>
          <w:rFonts w:ascii="Tahoma" w:hAnsi="Tahoma" w:cs="Tahoma"/>
          <w:b/>
          <w:sz w:val="22"/>
          <w:szCs w:val="22"/>
        </w:rPr>
        <w:t>VIGIL ENGINEERING s.r.o.</w:t>
      </w:r>
    </w:p>
    <w:p w14:paraId="1E3DD7EF" w14:textId="77777777" w:rsidR="00A03CBC" w:rsidRPr="002820E4" w:rsidRDefault="00A03CBC" w:rsidP="00A03CBC">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Pr="002820E4">
        <w:rPr>
          <w:rFonts w:ascii="Tahoma" w:hAnsi="Tahoma" w:cs="Tahoma"/>
          <w:sz w:val="22"/>
          <w:szCs w:val="22"/>
        </w:rPr>
        <w:t>e sídlem:</w:t>
      </w:r>
      <w:r>
        <w:rPr>
          <w:rFonts w:ascii="Tahoma" w:hAnsi="Tahoma" w:cs="Tahoma"/>
          <w:sz w:val="22"/>
          <w:szCs w:val="22"/>
        </w:rPr>
        <w:tab/>
        <w:t>Dětmarovice 401, 735 51</w:t>
      </w:r>
    </w:p>
    <w:p w14:paraId="4591A1C6" w14:textId="77777777" w:rsidR="00A03CBC" w:rsidRPr="002820E4" w:rsidRDefault="00A03CBC" w:rsidP="00A03CBC">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Pr="002820E4">
        <w:rPr>
          <w:rFonts w:ascii="Tahoma" w:hAnsi="Tahoma" w:cs="Tahoma"/>
          <w:sz w:val="22"/>
          <w:szCs w:val="22"/>
        </w:rPr>
        <w:t>astoupena:</w:t>
      </w:r>
      <w:r>
        <w:rPr>
          <w:rFonts w:ascii="Tahoma" w:hAnsi="Tahoma" w:cs="Tahoma"/>
          <w:sz w:val="22"/>
          <w:szCs w:val="22"/>
        </w:rPr>
        <w:tab/>
        <w:t xml:space="preserve">Ing. Martinem </w:t>
      </w:r>
      <w:proofErr w:type="spellStart"/>
      <w:r>
        <w:rPr>
          <w:rFonts w:ascii="Tahoma" w:hAnsi="Tahoma" w:cs="Tahoma"/>
          <w:sz w:val="22"/>
          <w:szCs w:val="22"/>
        </w:rPr>
        <w:t>Paszem</w:t>
      </w:r>
      <w:proofErr w:type="spellEnd"/>
      <w:r>
        <w:rPr>
          <w:rFonts w:ascii="Tahoma" w:hAnsi="Tahoma" w:cs="Tahoma"/>
          <w:sz w:val="22"/>
          <w:szCs w:val="22"/>
        </w:rPr>
        <w:t>, jednatelem</w:t>
      </w:r>
    </w:p>
    <w:p w14:paraId="7EF7FA60" w14:textId="77777777" w:rsidR="00A03CBC" w:rsidRPr="002820E4" w:rsidRDefault="00A03CBC" w:rsidP="00A03CBC">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IČ</w:t>
      </w:r>
      <w:r>
        <w:rPr>
          <w:rFonts w:ascii="Tahoma" w:hAnsi="Tahoma" w:cs="Tahoma"/>
          <w:sz w:val="22"/>
          <w:szCs w:val="22"/>
        </w:rPr>
        <w:t>O</w:t>
      </w:r>
      <w:r w:rsidRPr="002820E4">
        <w:rPr>
          <w:rFonts w:ascii="Tahoma" w:hAnsi="Tahoma" w:cs="Tahoma"/>
          <w:sz w:val="22"/>
          <w:szCs w:val="22"/>
        </w:rPr>
        <w:t>:</w:t>
      </w:r>
      <w:r>
        <w:rPr>
          <w:rFonts w:ascii="Tahoma" w:hAnsi="Tahoma" w:cs="Tahoma"/>
          <w:sz w:val="22"/>
          <w:szCs w:val="22"/>
        </w:rPr>
        <w:tab/>
        <w:t>01720520</w:t>
      </w:r>
    </w:p>
    <w:p w14:paraId="0A4D1FBA" w14:textId="77777777" w:rsidR="00A03CBC" w:rsidRPr="002820E4" w:rsidRDefault="00A03CBC" w:rsidP="00A03CBC">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ab/>
        <w:t>CZ01720520</w:t>
      </w:r>
    </w:p>
    <w:p w14:paraId="4BC6D6CC" w14:textId="77777777" w:rsidR="00A03CBC" w:rsidRPr="002820E4" w:rsidRDefault="00A03CBC" w:rsidP="00A03CBC">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ab/>
        <w:t>KB Karviná</w:t>
      </w:r>
    </w:p>
    <w:p w14:paraId="262B1ABD" w14:textId="77777777" w:rsidR="00A03CBC" w:rsidRPr="002820E4" w:rsidRDefault="00A03CBC" w:rsidP="00A03CBC">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ab/>
        <w:t>107-5373430217/0100</w:t>
      </w:r>
    </w:p>
    <w:p w14:paraId="5EAD9B33" w14:textId="77777777" w:rsidR="00A03CBC" w:rsidRPr="002820E4" w:rsidRDefault="00A03CBC" w:rsidP="00A03CBC">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Pr>
          <w:rFonts w:ascii="Tahoma" w:hAnsi="Tahoma" w:cs="Tahoma"/>
          <w:sz w:val="22"/>
          <w:szCs w:val="22"/>
        </w:rPr>
        <w:t xml:space="preserve">Krajským </w:t>
      </w:r>
      <w:r w:rsidRPr="002820E4">
        <w:rPr>
          <w:rFonts w:ascii="Tahoma" w:hAnsi="Tahoma" w:cs="Tahoma"/>
          <w:sz w:val="22"/>
          <w:szCs w:val="22"/>
        </w:rPr>
        <w:t>soudem v</w:t>
      </w:r>
      <w:r>
        <w:rPr>
          <w:rFonts w:ascii="Tahoma" w:hAnsi="Tahoma" w:cs="Tahoma"/>
          <w:sz w:val="22"/>
          <w:szCs w:val="22"/>
        </w:rPr>
        <w:t> Ostravě</w:t>
      </w:r>
      <w:r w:rsidRPr="002820E4">
        <w:rPr>
          <w:rFonts w:ascii="Tahoma" w:hAnsi="Tahoma" w:cs="Tahoma"/>
          <w:sz w:val="22"/>
          <w:szCs w:val="22"/>
        </w:rPr>
        <w:t>, oddíl</w:t>
      </w:r>
      <w:r>
        <w:rPr>
          <w:rFonts w:ascii="Tahoma" w:hAnsi="Tahoma" w:cs="Tahoma"/>
          <w:sz w:val="22"/>
          <w:szCs w:val="22"/>
        </w:rPr>
        <w:t> C</w:t>
      </w:r>
      <w:r w:rsidRPr="002820E4">
        <w:rPr>
          <w:rFonts w:ascii="Tahoma" w:hAnsi="Tahoma" w:cs="Tahoma"/>
          <w:sz w:val="22"/>
          <w:szCs w:val="22"/>
        </w:rPr>
        <w:t>, vložka</w:t>
      </w:r>
      <w:r>
        <w:rPr>
          <w:rFonts w:ascii="Tahoma" w:hAnsi="Tahoma" w:cs="Tahoma"/>
          <w:sz w:val="22"/>
          <w:szCs w:val="22"/>
        </w:rPr>
        <w:t> 56519</w:t>
      </w:r>
    </w:p>
    <w:p w14:paraId="4527EBDD" w14:textId="77777777" w:rsidR="00A03CBC" w:rsidRPr="002820E4" w:rsidRDefault="00A03CBC" w:rsidP="00A03CBC">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14:paraId="3383B0B9" w14:textId="1A3523CE"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 xml:space="preserve">této </w:t>
      </w:r>
      <w:r w:rsidR="00041C5B" w:rsidRPr="002820E4">
        <w:rPr>
          <w:rFonts w:ascii="Tahoma" w:hAnsi="Tahoma" w:cs="Tahoma"/>
          <w:sz w:val="22"/>
          <w:szCs w:val="22"/>
        </w:rPr>
        <w:lastRenderedPageBreak/>
        <w:t>smlouvy.</w:t>
      </w:r>
    </w:p>
    <w:p w14:paraId="2AB8C95B" w14:textId="0F007E4F" w:rsidR="00041C5B" w:rsidRPr="00ED22AD"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934C56">
        <w:rPr>
          <w:rFonts w:ascii="Tahoma" w:hAnsi="Tahoma" w:cs="Tahoma"/>
          <w:sz w:val="22"/>
          <w:szCs w:val="22"/>
        </w:rPr>
        <w:t>a bezpečnou</w:t>
      </w:r>
      <w:r w:rsidR="00B5441A" w:rsidRPr="00934C56">
        <w:rPr>
          <w:rFonts w:ascii="Tahoma" w:hAnsi="Tahoma" w:cs="Tahoma"/>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stavby</w:t>
      </w:r>
      <w:r w:rsidR="003F266E" w:rsidRPr="3348CDC7">
        <w:rPr>
          <w:rFonts w:ascii="Tahoma" w:hAnsi="Tahoma" w:cs="Tahoma"/>
          <w:sz w:val="22"/>
          <w:szCs w:val="22"/>
        </w:rPr>
        <w:t xml:space="preserve"> </w:t>
      </w:r>
      <w:r w:rsidR="00E52C3B" w:rsidRPr="00934C56">
        <w:rPr>
          <w:rFonts w:ascii="Tahoma" w:hAnsi="Tahoma" w:cs="Tahoma"/>
          <w:sz w:val="22"/>
          <w:szCs w:val="22"/>
        </w:rPr>
        <w:t>„</w:t>
      </w:r>
      <w:r w:rsidR="00532A94">
        <w:rPr>
          <w:rFonts w:ascii="Tahoma" w:hAnsi="Tahoma" w:cs="Tahoma"/>
          <w:sz w:val="22"/>
          <w:szCs w:val="22"/>
        </w:rPr>
        <w:t xml:space="preserve">Rekonstrukce </w:t>
      </w:r>
      <w:r w:rsidR="002A791D">
        <w:rPr>
          <w:rFonts w:ascii="Tahoma" w:hAnsi="Tahoma" w:cs="Tahoma"/>
          <w:sz w:val="22"/>
          <w:szCs w:val="22"/>
        </w:rPr>
        <w:t xml:space="preserve">obloukové </w:t>
      </w:r>
      <w:r w:rsidR="00532A94">
        <w:rPr>
          <w:rFonts w:ascii="Tahoma" w:hAnsi="Tahoma" w:cs="Tahoma"/>
          <w:sz w:val="22"/>
          <w:szCs w:val="22"/>
        </w:rPr>
        <w:t>střechy</w:t>
      </w:r>
      <w:r w:rsidR="00E52C3B" w:rsidRPr="00934C56">
        <w:rPr>
          <w:rFonts w:ascii="Tahoma" w:hAnsi="Tahoma" w:cs="Tahoma"/>
          <w:sz w:val="22"/>
          <w:szCs w:val="22"/>
        </w:rPr>
        <w:t>“</w:t>
      </w:r>
      <w:r w:rsidR="003F266E" w:rsidRPr="3348CDC7">
        <w:rPr>
          <w:rFonts w:ascii="Tahoma" w:hAnsi="Tahoma" w:cs="Tahoma"/>
          <w:sz w:val="22"/>
          <w:szCs w:val="22"/>
        </w:rPr>
        <w:t xml:space="preserve"> </w:t>
      </w:r>
      <w:r w:rsidR="003F266E" w:rsidRPr="00A34890">
        <w:rPr>
          <w:rFonts w:ascii="Tahoma" w:hAnsi="Tahoma" w:cs="Tahoma"/>
          <w:sz w:val="22"/>
          <w:szCs w:val="22"/>
        </w:rPr>
        <w:t>vč. zajištění potřebných rozhodnutí</w:t>
      </w:r>
      <w:r w:rsidR="001E4AB1" w:rsidRPr="3348CDC7">
        <w:rPr>
          <w:rFonts w:ascii="Tahoma" w:hAnsi="Tahoma" w:cs="Tahoma"/>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6AA63122" w:rsidR="00041C5B" w:rsidRPr="006B19A0"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934C56">
        <w:rPr>
          <w:rFonts w:ascii="Tahoma" w:hAnsi="Tahoma" w:cs="Tahoma"/>
          <w:sz w:val="22"/>
          <w:szCs w:val="22"/>
        </w:rPr>
        <w:t>„</w:t>
      </w:r>
      <w:r w:rsidR="00532A94" w:rsidRPr="00532A94">
        <w:rPr>
          <w:rFonts w:ascii="Tahoma" w:hAnsi="Tahoma" w:cs="Tahoma"/>
          <w:bCs/>
          <w:sz w:val="22"/>
          <w:szCs w:val="22"/>
        </w:rPr>
        <w:t xml:space="preserve">Rekonstrukce </w:t>
      </w:r>
      <w:r w:rsidR="00063219">
        <w:rPr>
          <w:rFonts w:ascii="Tahoma" w:hAnsi="Tahoma" w:cs="Tahoma"/>
          <w:bCs/>
          <w:sz w:val="22"/>
          <w:szCs w:val="22"/>
        </w:rPr>
        <w:t xml:space="preserve">obloukové </w:t>
      </w:r>
      <w:r w:rsidR="00532A94" w:rsidRPr="00532A94">
        <w:rPr>
          <w:rFonts w:ascii="Tahoma" w:hAnsi="Tahoma" w:cs="Tahoma"/>
          <w:bCs/>
          <w:sz w:val="22"/>
          <w:szCs w:val="22"/>
        </w:rPr>
        <w:t>střechy</w:t>
      </w:r>
      <w:r w:rsidR="009D7745" w:rsidRPr="00934C56">
        <w:rPr>
          <w:rFonts w:ascii="Tahoma" w:hAnsi="Tahoma" w:cs="Tahoma"/>
          <w:sz w:val="22"/>
          <w:szCs w:val="22"/>
        </w:rPr>
        <w:t>“</w:t>
      </w:r>
      <w:r w:rsidR="00041C5B" w:rsidRPr="3348CDC7">
        <w:rPr>
          <w:rFonts w:ascii="Tahoma" w:hAnsi="Tahoma" w:cs="Tahoma"/>
          <w:sz w:val="22"/>
          <w:szCs w:val="22"/>
        </w:rPr>
        <w:t xml:space="preserve"> (dále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 xml:space="preserve">v souladu </w:t>
      </w:r>
      <w:r w:rsidR="00EA79E4">
        <w:rPr>
          <w:rFonts w:ascii="Tahoma" w:hAnsi="Tahoma" w:cs="Tahoma"/>
          <w:sz w:val="22"/>
          <w:szCs w:val="22"/>
        </w:rPr>
        <w:t xml:space="preserve">se </w:t>
      </w:r>
      <w:r w:rsidR="000E5731" w:rsidRPr="000E5731">
        <w:rPr>
          <w:rFonts w:ascii="Tahoma" w:hAnsi="Tahoma" w:cs="Tahoma"/>
          <w:sz w:val="22"/>
          <w:szCs w:val="22"/>
        </w:rPr>
        <w:t>zákon</w:t>
      </w:r>
      <w:r w:rsidR="00EA79E4">
        <w:rPr>
          <w:rFonts w:ascii="Tahoma" w:hAnsi="Tahoma" w:cs="Tahoma"/>
          <w:sz w:val="22"/>
          <w:szCs w:val="22"/>
        </w:rPr>
        <w:t>em</w:t>
      </w:r>
      <w:r w:rsidR="000E5731" w:rsidRPr="000E5731">
        <w:rPr>
          <w:rFonts w:ascii="Tahoma" w:hAnsi="Tahoma" w:cs="Tahoma"/>
          <w:sz w:val="22"/>
          <w:szCs w:val="22"/>
        </w:rPr>
        <w:t xml:space="preserve"> č. 283/2021 Sb., stavební zákon, ve znění pozdějších předpisů, </w:t>
      </w:r>
      <w:r w:rsidR="00EA79E4">
        <w:rPr>
          <w:rFonts w:ascii="Tahoma" w:hAnsi="Tahoma" w:cs="Tahoma"/>
          <w:sz w:val="22"/>
          <w:szCs w:val="22"/>
        </w:rPr>
        <w:t xml:space="preserve">(dále </w:t>
      </w:r>
      <w:r w:rsidR="000E5731" w:rsidRPr="000E5731">
        <w:rPr>
          <w:rFonts w:ascii="Tahoma" w:hAnsi="Tahoma" w:cs="Tahoma"/>
          <w:sz w:val="22"/>
          <w:szCs w:val="22"/>
        </w:rPr>
        <w:t>jen „stavební zákon“)</w:t>
      </w:r>
      <w:r w:rsidR="006B19A0" w:rsidRPr="00A34890">
        <w:rPr>
          <w:rFonts w:ascii="Tahoma" w:hAnsi="Tahoma" w:cs="Tahoma"/>
          <w:sz w:val="22"/>
          <w:szCs w:val="22"/>
        </w:rPr>
        <w:t xml:space="preserve">, </w:t>
      </w:r>
      <w:r w:rsidR="006B19A0" w:rsidRPr="3348CDC7">
        <w:rPr>
          <w:rFonts w:ascii="Tahoma" w:hAnsi="Tahoma" w:cs="Tahoma"/>
          <w:sz w:val="22"/>
          <w:szCs w:val="22"/>
        </w:rPr>
        <w:t>a </w:t>
      </w:r>
      <w:r w:rsidR="005801A3" w:rsidRPr="3348CDC7">
        <w:rPr>
          <w:rFonts w:ascii="Tahoma" w:hAnsi="Tahoma" w:cs="Tahoma"/>
          <w:sz w:val="22"/>
          <w:szCs w:val="22"/>
        </w:rPr>
        <w:t>to podle</w:t>
      </w:r>
      <w:r w:rsidR="00041C5B" w:rsidRPr="3348CDC7">
        <w:rPr>
          <w:rFonts w:ascii="Tahoma" w:hAnsi="Tahoma" w:cs="Tahoma"/>
          <w:sz w:val="22"/>
          <w:szCs w:val="22"/>
        </w:rPr>
        <w:t>:</w:t>
      </w:r>
    </w:p>
    <w:p w14:paraId="79DED42E" w14:textId="1FF14C65"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1308BF">
        <w:rPr>
          <w:rFonts w:ascii="Tahoma" w:hAnsi="Tahoma" w:cs="Tahoma"/>
          <w:iCs/>
          <w:sz w:val="22"/>
          <w:szCs w:val="22"/>
        </w:rPr>
        <w:t>projektové</w:t>
      </w:r>
      <w:r w:rsidRPr="001308BF">
        <w:rPr>
          <w:rFonts w:ascii="Tahoma" w:hAnsi="Tahoma" w:cs="Tahoma"/>
          <w:sz w:val="22"/>
          <w:szCs w:val="22"/>
        </w:rPr>
        <w:t xml:space="preserve"> dokumentace </w:t>
      </w:r>
      <w:r w:rsidR="00822657" w:rsidRPr="001308BF">
        <w:rPr>
          <w:rFonts w:ascii="Tahoma" w:hAnsi="Tahoma" w:cs="Tahoma"/>
          <w:sz w:val="22"/>
          <w:szCs w:val="22"/>
        </w:rPr>
        <w:t xml:space="preserve">pro provádění </w:t>
      </w:r>
      <w:r w:rsidRPr="001308BF">
        <w:rPr>
          <w:rFonts w:ascii="Tahoma" w:hAnsi="Tahoma" w:cs="Tahoma"/>
          <w:sz w:val="22"/>
          <w:szCs w:val="22"/>
        </w:rPr>
        <w:t>stavby</w:t>
      </w:r>
      <w:r w:rsidR="00822657" w:rsidRPr="001308BF">
        <w:rPr>
          <w:rFonts w:ascii="Tahoma" w:hAnsi="Tahoma" w:cs="Tahoma"/>
          <w:sz w:val="22"/>
          <w:szCs w:val="22"/>
        </w:rPr>
        <w:t xml:space="preserve"> (dále jen „DPS“)</w:t>
      </w:r>
      <w:r w:rsidR="0032413E">
        <w:rPr>
          <w:rFonts w:ascii="Tahoma" w:hAnsi="Tahoma" w:cs="Tahoma"/>
          <w:sz w:val="22"/>
          <w:szCs w:val="22"/>
        </w:rPr>
        <w:t xml:space="preserve"> zpracované v dubnu 202</w:t>
      </w:r>
      <w:r w:rsidR="006C0CFD">
        <w:rPr>
          <w:rFonts w:ascii="Tahoma" w:hAnsi="Tahoma" w:cs="Tahoma"/>
          <w:sz w:val="22"/>
          <w:szCs w:val="22"/>
        </w:rPr>
        <w:t xml:space="preserve">4 </w:t>
      </w:r>
      <w:r w:rsidR="0032413E">
        <w:rPr>
          <w:rFonts w:ascii="Tahoma" w:hAnsi="Tahoma" w:cs="Tahoma"/>
          <w:sz w:val="22"/>
          <w:szCs w:val="22"/>
        </w:rPr>
        <w:t>společností ATRIS</w:t>
      </w:r>
      <w:r w:rsidR="006C0CFD">
        <w:rPr>
          <w:rFonts w:ascii="Tahoma" w:hAnsi="Tahoma" w:cs="Tahoma"/>
          <w:sz w:val="22"/>
          <w:szCs w:val="22"/>
        </w:rPr>
        <w:t xml:space="preserve"> s. r. o., se sídlem</w:t>
      </w:r>
      <w:r w:rsidR="0036202A">
        <w:rPr>
          <w:rFonts w:ascii="Tahoma" w:hAnsi="Tahoma" w:cs="Tahoma"/>
          <w:sz w:val="22"/>
          <w:szCs w:val="22"/>
        </w:rPr>
        <w:t xml:space="preserve"> Občanská </w:t>
      </w:r>
      <w:r w:rsidR="00462065">
        <w:rPr>
          <w:rFonts w:ascii="Tahoma" w:hAnsi="Tahoma" w:cs="Tahoma"/>
          <w:sz w:val="22"/>
          <w:szCs w:val="22"/>
        </w:rPr>
        <w:t>1116/18, 710 00 Ostrava – Slezská Ostrava, IČO: 28608909</w:t>
      </w:r>
      <w:r w:rsidRPr="001308BF">
        <w:rPr>
          <w:rFonts w:ascii="Tahoma" w:hAnsi="Tahoma" w:cs="Tahoma"/>
          <w:sz w:val="22"/>
          <w:szCs w:val="22"/>
        </w:rPr>
        <w:t>,</w:t>
      </w:r>
      <w:r w:rsidRPr="001308BF" w:rsidDel="00E12D85">
        <w:rPr>
          <w:rFonts w:ascii="Tahoma" w:hAnsi="Tahoma" w:cs="Tahoma"/>
          <w:iCs/>
          <w:sz w:val="22"/>
          <w:szCs w:val="22"/>
        </w:rPr>
        <w:t xml:space="preserve"> </w:t>
      </w:r>
      <w:r w:rsidRPr="001308BF">
        <w:rPr>
          <w:rFonts w:ascii="Tahoma" w:hAnsi="Tahoma" w:cs="Tahoma"/>
          <w:iCs/>
          <w:sz w:val="22"/>
          <w:szCs w:val="22"/>
        </w:rPr>
        <w:t xml:space="preserve">a oceněného </w:t>
      </w:r>
      <w:r w:rsidR="00B5441A" w:rsidRPr="001308BF">
        <w:rPr>
          <w:rFonts w:ascii="Tahoma" w:hAnsi="Tahoma" w:cs="Tahoma"/>
          <w:iCs/>
          <w:sz w:val="22"/>
          <w:szCs w:val="22"/>
        </w:rPr>
        <w:t>soupisu prací</w:t>
      </w:r>
      <w:r w:rsidRPr="001308BF">
        <w:rPr>
          <w:rFonts w:ascii="Tahoma" w:hAnsi="Tahoma" w:cs="Tahoma"/>
          <w:iCs/>
          <w:sz w:val="22"/>
          <w:szCs w:val="22"/>
        </w:rPr>
        <w:t>, který je součástí nabídky zhotovitele</w:t>
      </w:r>
      <w:r w:rsidR="005C32AB" w:rsidRPr="001308BF">
        <w:rPr>
          <w:rFonts w:ascii="Tahoma" w:hAnsi="Tahoma" w:cs="Tahoma"/>
          <w:iCs/>
          <w:sz w:val="22"/>
          <w:szCs w:val="22"/>
        </w:rPr>
        <w:t xml:space="preserve"> stavby</w:t>
      </w:r>
      <w:r w:rsidRPr="001308BF">
        <w:rPr>
          <w:rFonts w:ascii="Tahoma" w:hAnsi="Tahoma" w:cs="Tahoma"/>
          <w:iCs/>
          <w:sz w:val="22"/>
          <w:szCs w:val="22"/>
        </w:rPr>
        <w:t xml:space="preserve"> v rámci veřejné zakázky na výběr zhotovitele </w:t>
      </w:r>
      <w:r w:rsidR="005C32AB" w:rsidRPr="001308BF">
        <w:rPr>
          <w:rFonts w:ascii="Tahoma" w:hAnsi="Tahoma" w:cs="Tahoma"/>
          <w:iCs/>
          <w:sz w:val="22"/>
          <w:szCs w:val="22"/>
        </w:rPr>
        <w:t>stavby</w:t>
      </w:r>
      <w:r w:rsidR="00822657" w:rsidRPr="001308BF">
        <w:rPr>
          <w:rFonts w:ascii="Tahoma" w:hAnsi="Tahoma" w:cs="Tahoma"/>
          <w:iCs/>
          <w:sz w:val="22"/>
          <w:szCs w:val="22"/>
        </w:rPr>
        <w:t xml:space="preserve"> (dále jen</w:t>
      </w:r>
      <w:r w:rsidR="00822657">
        <w:rPr>
          <w:rFonts w:ascii="Tahoma" w:hAnsi="Tahoma" w:cs="Tahoma"/>
          <w:iCs/>
          <w:sz w:val="22"/>
          <w:szCs w:val="22"/>
        </w:rPr>
        <w:t xml:space="preserve"> „soupis prací“)</w:t>
      </w:r>
      <w:r w:rsidR="009D7D33">
        <w:rPr>
          <w:rFonts w:ascii="Tahoma" w:hAnsi="Tahoma" w:cs="Tahoma"/>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1AD5050E"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2E256A"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E256A">
        <w:rPr>
          <w:rFonts w:ascii="Tahoma" w:hAnsi="Tahoma" w:cs="Tahoma"/>
          <w:sz w:val="22"/>
          <w:szCs w:val="22"/>
        </w:rPr>
        <w:t>Protokolární předání základních vytyčovacích prvků stavby zhotoviteli.</w:t>
      </w:r>
    </w:p>
    <w:p w14:paraId="1C196E29" w14:textId="7C3DADBD"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041EA1" w:rsidRPr="002E256A">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041EA1">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2E256A">
        <w:rPr>
          <w:rFonts w:ascii="Tahoma" w:hAnsi="Tahoma" w:cs="Tahoma"/>
          <w:sz w:val="22"/>
          <w:szCs w:val="22"/>
        </w:rPr>
        <w:t xml:space="preserve">či přerušení </w:t>
      </w:r>
      <w:r w:rsidR="006E3615" w:rsidRPr="002E256A">
        <w:rPr>
          <w:rFonts w:ascii="Tahoma" w:hAnsi="Tahoma" w:cs="Tahoma"/>
          <w:sz w:val="22"/>
          <w:szCs w:val="22"/>
        </w:rPr>
        <w:t xml:space="preserve">stavby v nezbytném rozsahu, minimálně však 1x týdně, a to vždy min. </w:t>
      </w:r>
      <w:r w:rsidR="00041EA1" w:rsidRPr="002E256A">
        <w:rPr>
          <w:rFonts w:ascii="Tahoma" w:hAnsi="Tahoma" w:cs="Tahoma"/>
          <w:sz w:val="22"/>
          <w:szCs w:val="22"/>
        </w:rPr>
        <w:t>0,5</w:t>
      </w:r>
      <w:r w:rsidR="00FA74D6" w:rsidRPr="002E256A">
        <w:rPr>
          <w:rFonts w:ascii="Tahoma" w:hAnsi="Tahoma" w:cs="Tahoma"/>
          <w:sz w:val="22"/>
          <w:szCs w:val="22"/>
        </w:rPr>
        <w:t xml:space="preserve"> </w:t>
      </w:r>
      <w:r w:rsidR="006E3615" w:rsidRPr="002E256A">
        <w:rPr>
          <w:rFonts w:ascii="Tahoma" w:hAnsi="Tahoma" w:cs="Tahoma"/>
          <w:sz w:val="22"/>
          <w:szCs w:val="22"/>
        </w:rPr>
        <w:t>hodin</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16A3D890" w14:textId="77777777" w:rsidR="00041C5B" w:rsidRPr="002E256A"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E256A">
        <w:rPr>
          <w:rFonts w:ascii="Tahoma" w:hAnsi="Tahoma" w:cs="Tahoma"/>
          <w:sz w:val="22"/>
          <w:szCs w:val="22"/>
        </w:rPr>
        <w:t>Účast na kontrolním zaměření terénu zhotovitelem před zahájením prací.</w:t>
      </w:r>
    </w:p>
    <w:p w14:paraId="26B7D299" w14:textId="77777777" w:rsidR="00D57B5F" w:rsidRPr="002E256A" w:rsidRDefault="00D57B5F" w:rsidP="000D44B7">
      <w:pPr>
        <w:numPr>
          <w:ilvl w:val="0"/>
          <w:numId w:val="8"/>
        </w:numPr>
        <w:tabs>
          <w:tab w:val="clear" w:pos="2062"/>
          <w:tab w:val="num" w:pos="714"/>
        </w:tabs>
        <w:spacing w:before="60"/>
        <w:ind w:left="714" w:hanging="357"/>
        <w:jc w:val="both"/>
        <w:rPr>
          <w:rFonts w:ascii="Tahoma" w:hAnsi="Tahoma" w:cs="Tahoma"/>
          <w:sz w:val="22"/>
          <w:szCs w:val="22"/>
        </w:rPr>
      </w:pPr>
      <w:r w:rsidRPr="002E256A">
        <w:rPr>
          <w:rFonts w:ascii="Tahoma" w:hAnsi="Tahoma" w:cs="Tahoma"/>
          <w:sz w:val="22"/>
          <w:szCs w:val="22"/>
        </w:rPr>
        <w:t>Kontrola směrového a výškového umístění stavby</w:t>
      </w:r>
      <w:r w:rsidR="00A863A4" w:rsidRPr="002E256A">
        <w:rPr>
          <w:rFonts w:ascii="Tahoma" w:hAnsi="Tahoma" w:cs="Tahoma"/>
          <w:sz w:val="22"/>
          <w:szCs w:val="22"/>
        </w:rPr>
        <w:t>.</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006CE689"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 xml:space="preserve">materiálů“, prokazující splnění požadovaných technických a kvalitativních parametrů výrobků </w:t>
      </w:r>
      <w:r w:rsidRPr="002820E4">
        <w:rPr>
          <w:rFonts w:ascii="Tahoma" w:hAnsi="Tahoma" w:cs="Tahoma"/>
          <w:sz w:val="22"/>
          <w:szCs w:val="22"/>
        </w:rPr>
        <w:lastRenderedPageBreak/>
        <w:t>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5CD6C466" w14:textId="77777777" w:rsidR="00EA79E4" w:rsidRPr="002820E4" w:rsidRDefault="00EA79E4" w:rsidP="00EA79E4">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Pr="001D3026">
        <w:rPr>
          <w:rFonts w:ascii="Tahoma" w:hAnsi="Tahoma" w:cs="Tahoma"/>
          <w:sz w:val="22"/>
          <w:szCs w:val="22"/>
        </w:rPr>
        <w:t xml:space="preserve"> V rámci této činnosti příkazník kontroluje a</w:t>
      </w:r>
      <w:r>
        <w:rPr>
          <w:rFonts w:ascii="Tahoma" w:hAnsi="Tahoma" w:cs="Tahoma"/>
          <w:sz w:val="22"/>
          <w:szCs w:val="22"/>
        </w:rPr>
        <w:t> </w:t>
      </w:r>
      <w:r w:rsidRPr="001D3026">
        <w:rPr>
          <w:rFonts w:ascii="Tahoma" w:hAnsi="Tahoma" w:cs="Tahoma"/>
          <w:sz w:val="22"/>
          <w:szCs w:val="22"/>
        </w:rPr>
        <w:t>přebírá od</w:t>
      </w:r>
      <w:r>
        <w:rPr>
          <w:rFonts w:ascii="Tahoma" w:hAnsi="Tahoma" w:cs="Tahoma"/>
          <w:sz w:val="22"/>
          <w:szCs w:val="22"/>
        </w:rPr>
        <w:t> </w:t>
      </w:r>
      <w:r w:rsidRPr="001D3026">
        <w:rPr>
          <w:rFonts w:ascii="Tahoma" w:hAnsi="Tahoma" w:cs="Tahoma"/>
          <w:sz w:val="22"/>
          <w:szCs w:val="22"/>
        </w:rPr>
        <w:t>zhotovitele a</w:t>
      </w:r>
      <w:r>
        <w:rPr>
          <w:rFonts w:ascii="Tahoma" w:hAnsi="Tahoma" w:cs="Tahoma"/>
          <w:sz w:val="22"/>
          <w:szCs w:val="22"/>
        </w:rPr>
        <w:t> následně předloží příkazci</w:t>
      </w:r>
      <w:r w:rsidRPr="001D3026">
        <w:rPr>
          <w:rFonts w:ascii="Tahoma" w:hAnsi="Tahoma" w:cs="Tahoma"/>
          <w:sz w:val="22"/>
          <w:szCs w:val="22"/>
        </w:rPr>
        <w:t xml:space="preserve"> dokumentaci skutečného provedení stavby </w:t>
      </w:r>
      <w:r>
        <w:rPr>
          <w:rFonts w:ascii="Tahoma" w:hAnsi="Tahoma" w:cs="Tahoma"/>
          <w:sz w:val="22"/>
          <w:szCs w:val="22"/>
        </w:rPr>
        <w:t xml:space="preserve">včetně její geodetické části nebo geodetického podkladu pro potřeby vedení Digitální technické mapy Moravskoslezského kraje </w:t>
      </w:r>
      <w:r w:rsidRPr="001D3026">
        <w:rPr>
          <w:rFonts w:ascii="Tahoma" w:hAnsi="Tahoma" w:cs="Tahoma"/>
          <w:sz w:val="22"/>
          <w:szCs w:val="22"/>
        </w:rPr>
        <w:t>a</w:t>
      </w:r>
      <w:r>
        <w:rPr>
          <w:rFonts w:ascii="Tahoma" w:hAnsi="Tahoma" w:cs="Tahoma"/>
          <w:sz w:val="22"/>
          <w:szCs w:val="22"/>
        </w:rPr>
        <w:t> </w:t>
      </w:r>
      <w:r w:rsidRPr="001D3026">
        <w:rPr>
          <w:rFonts w:ascii="Tahoma" w:hAnsi="Tahoma" w:cs="Tahoma"/>
          <w:sz w:val="22"/>
          <w:szCs w:val="22"/>
        </w:rPr>
        <w:t xml:space="preserve">veškeré doklady nezbytné k přejímce dokončené stavby. </w:t>
      </w:r>
      <w:r w:rsidRPr="008324B1">
        <w:rPr>
          <w:rFonts w:ascii="Tahoma" w:hAnsi="Tahoma" w:cs="Tahoma"/>
          <w:sz w:val="22"/>
          <w:szCs w:val="22"/>
        </w:rPr>
        <w:t xml:space="preserve">Shodu dokumentace skutečného provedení se stavem na stavbě potvrdí svým podpisem </w:t>
      </w:r>
      <w:r>
        <w:rPr>
          <w:rFonts w:ascii="Tahoma" w:hAnsi="Tahoma" w:cs="Tahoma"/>
          <w:sz w:val="22"/>
          <w:szCs w:val="22"/>
        </w:rPr>
        <w:t>v protokolu o předání a převzetí díla sepsaným při předání a převzetí dokončené stavby</w:t>
      </w:r>
      <w:r w:rsidRPr="008324B1">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proofErr w:type="gramStart"/>
      <w:r w:rsidRPr="00A863A4">
        <w:rPr>
          <w:rFonts w:ascii="Tahoma" w:hAnsi="Tahoma" w:cs="Tahoma"/>
          <w:sz w:val="22"/>
          <w:szCs w:val="22"/>
        </w:rPr>
        <w:t>stavby</w:t>
      </w:r>
      <w:proofErr w:type="gramEnd"/>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2F060109"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041EA1" w:rsidRPr="002E256A">
        <w:rPr>
          <w:rStyle w:val="Hypertextovodkaz"/>
          <w:rFonts w:ascii="Tahoma" w:hAnsi="Tahoma" w:cs="Tahoma"/>
          <w:color w:val="auto"/>
          <w:sz w:val="22"/>
          <w:szCs w:val="22"/>
          <w:u w:val="none"/>
        </w:rPr>
        <w:t>kancelar@goa-orlova.cz</w:t>
      </w:r>
      <w:r w:rsidR="005179D3" w:rsidRPr="002E256A">
        <w:rPr>
          <w:rFonts w:ascii="Tahoma" w:hAnsi="Tahoma" w:cs="Tahoma"/>
          <w:sz w:val="22"/>
          <w:szCs w:val="22"/>
        </w:rPr>
        <w:t>),</w:t>
      </w:r>
      <w:r w:rsidR="005179D3" w:rsidRPr="002820E4">
        <w:rPr>
          <w:rFonts w:ascii="Tahoma" w:hAnsi="Tahoma" w:cs="Tahoma"/>
          <w:sz w:val="22"/>
          <w:szCs w:val="22"/>
        </w:rPr>
        <w:t xml:space="preserve">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067EA98A" w14:textId="77777777" w:rsidR="00903A9F" w:rsidRDefault="00903A9F" w:rsidP="00903A9F">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Pr="002820E4">
        <w:rPr>
          <w:rFonts w:ascii="Tahoma" w:hAnsi="Tahoma" w:cs="Tahoma"/>
          <w:sz w:val="22"/>
          <w:szCs w:val="22"/>
        </w:rPr>
        <w:t xml:space="preserve"> podrobné fotodokumentace stavby (vč. fotodokumentace původního stavu</w:t>
      </w:r>
      <w:r>
        <w:rPr>
          <w:rFonts w:ascii="Tahoma" w:hAnsi="Tahoma" w:cs="Tahoma"/>
          <w:sz w:val="22"/>
          <w:szCs w:val="22"/>
        </w:rPr>
        <w:t>,</w:t>
      </w:r>
      <w:r w:rsidRPr="00564145">
        <w:rPr>
          <w:rFonts w:ascii="Tahoma" w:hAnsi="Tahoma" w:cs="Tahoma"/>
          <w:sz w:val="22"/>
          <w:szCs w:val="22"/>
        </w:rPr>
        <w:t xml:space="preserve"> </w:t>
      </w:r>
      <w:r w:rsidRPr="002820E4">
        <w:rPr>
          <w:rFonts w:ascii="Tahoma" w:hAnsi="Tahoma" w:cs="Tahoma"/>
          <w:sz w:val="22"/>
          <w:szCs w:val="22"/>
        </w:rPr>
        <w:t xml:space="preserve">tj. dokumentace zachycující stav objektu, staveniště a jeho bezprostředního okolí včetně příjezdových komunikací v době převzetí staveniště) včetně popisu. Dokumentace bude </w:t>
      </w:r>
      <w:r>
        <w:rPr>
          <w:rFonts w:ascii="Tahoma" w:hAnsi="Tahoma" w:cs="Tahoma"/>
          <w:sz w:val="22"/>
          <w:szCs w:val="22"/>
        </w:rPr>
        <w:t xml:space="preserve">pořizována průběžně </w:t>
      </w:r>
      <w:r w:rsidRPr="002820E4">
        <w:rPr>
          <w:rFonts w:ascii="Tahoma" w:hAnsi="Tahoma" w:cs="Tahoma"/>
          <w:sz w:val="22"/>
          <w:szCs w:val="22"/>
        </w:rPr>
        <w:t xml:space="preserve">ode dne předání staveniště zhotoviteli do převzetí </w:t>
      </w:r>
      <w:r>
        <w:rPr>
          <w:rFonts w:ascii="Tahoma" w:hAnsi="Tahoma" w:cs="Tahoma"/>
          <w:sz w:val="22"/>
          <w:szCs w:val="22"/>
        </w:rPr>
        <w:t>dokončené stavby příkazcem</w:t>
      </w:r>
      <w:r w:rsidRPr="002820E4">
        <w:rPr>
          <w:rFonts w:ascii="Tahoma" w:hAnsi="Tahoma" w:cs="Tahoma"/>
          <w:sz w:val="22"/>
          <w:szCs w:val="22"/>
        </w:rPr>
        <w:t xml:space="preserve"> jako objednatelem</w:t>
      </w:r>
      <w:r>
        <w:rPr>
          <w:rFonts w:ascii="Tahoma" w:hAnsi="Tahoma" w:cs="Tahoma"/>
          <w:sz w:val="22"/>
          <w:szCs w:val="22"/>
        </w:rPr>
        <w:t xml:space="preserve"> a odstranění poslední vady z přejímacího řízení stavby (pokud byla stavba převzata s vadami a výhradami)</w:t>
      </w:r>
      <w:r w:rsidRPr="002820E4">
        <w:rPr>
          <w:rFonts w:ascii="Tahoma" w:hAnsi="Tahoma" w:cs="Tahoma"/>
          <w:sz w:val="22"/>
          <w:szCs w:val="22"/>
        </w:rPr>
        <w:t xml:space="preserve">. Fotodokumentace </w:t>
      </w:r>
      <w:r>
        <w:rPr>
          <w:rFonts w:ascii="Tahoma" w:hAnsi="Tahoma" w:cs="Tahoma"/>
          <w:sz w:val="22"/>
          <w:szCs w:val="22"/>
        </w:rPr>
        <w:t>stavby</w:t>
      </w:r>
      <w:r w:rsidRPr="002820E4">
        <w:rPr>
          <w:rFonts w:ascii="Tahoma" w:hAnsi="Tahoma" w:cs="Tahoma"/>
          <w:sz w:val="22"/>
          <w:szCs w:val="22"/>
        </w:rPr>
        <w:t xml:space="preserve"> bude příkazci předána do 2 týdnů od</w:t>
      </w:r>
      <w:r>
        <w:rPr>
          <w:rFonts w:ascii="Tahoma" w:hAnsi="Tahoma" w:cs="Tahoma"/>
          <w:sz w:val="22"/>
          <w:szCs w:val="22"/>
        </w:rPr>
        <w:t> </w:t>
      </w:r>
      <w:r w:rsidRPr="002820E4">
        <w:rPr>
          <w:rFonts w:ascii="Tahoma" w:hAnsi="Tahoma" w:cs="Tahoma"/>
          <w:sz w:val="22"/>
          <w:szCs w:val="22"/>
        </w:rPr>
        <w:t>předání staveniště zhotoviteli</w:t>
      </w:r>
      <w:r>
        <w:rPr>
          <w:rFonts w:ascii="Tahoma" w:hAnsi="Tahoma" w:cs="Tahoma"/>
          <w:sz w:val="22"/>
          <w:szCs w:val="22"/>
        </w:rPr>
        <w:t xml:space="preserve"> a její převzetí bude potvrzeno příkazcem v předávacím protokolu</w:t>
      </w:r>
      <w:r w:rsidRPr="002820E4">
        <w:rPr>
          <w:rFonts w:ascii="Tahoma" w:hAnsi="Tahoma" w:cs="Tahoma"/>
          <w:sz w:val="22"/>
          <w:szCs w:val="22"/>
        </w:rPr>
        <w:t>.</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DF79245" w14:textId="72110637" w:rsidR="004B4B29" w:rsidRPr="004B4B29" w:rsidRDefault="0049705D" w:rsidP="002E256A">
      <w:pPr>
        <w:numPr>
          <w:ilvl w:val="0"/>
          <w:numId w:val="19"/>
        </w:numPr>
        <w:tabs>
          <w:tab w:val="left" w:pos="714"/>
        </w:tabs>
        <w:spacing w:before="60"/>
        <w:ind w:left="714" w:hanging="357"/>
        <w:jc w:val="both"/>
        <w:rPr>
          <w:rFonts w:ascii="Tahoma" w:hAnsi="Tahoma" w:cs="Tahoma"/>
          <w:b/>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0043581B">
        <w:rPr>
          <w:rFonts w:ascii="Tahoma" w:hAnsi="Tahoma" w:cs="Tahoma"/>
          <w:sz w:val="22"/>
          <w:szCs w:val="22"/>
        </w:rPr>
        <w:t>.</w:t>
      </w:r>
    </w:p>
    <w:p w14:paraId="1A298654" w14:textId="77777777" w:rsidR="004B4B29" w:rsidRDefault="004B4B29" w:rsidP="004B4B29">
      <w:pPr>
        <w:tabs>
          <w:tab w:val="left" w:pos="714"/>
        </w:tabs>
        <w:spacing w:before="60"/>
        <w:ind w:left="714"/>
        <w:jc w:val="both"/>
        <w:rPr>
          <w:rFonts w:ascii="Tahoma" w:hAnsi="Tahoma" w:cs="Tahoma"/>
          <w:sz w:val="22"/>
          <w:szCs w:val="22"/>
        </w:rPr>
      </w:pPr>
    </w:p>
    <w:p w14:paraId="29F8A4D0" w14:textId="16C4E247" w:rsidR="00041C5B" w:rsidRPr="002820E4" w:rsidRDefault="00041C5B" w:rsidP="004B4B29">
      <w:pPr>
        <w:tabs>
          <w:tab w:val="left" w:pos="714"/>
        </w:tabs>
        <w:spacing w:before="60"/>
        <w:ind w:left="714"/>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350CBF8F" w:rsidR="00F96ECC" w:rsidRPr="008F68BC" w:rsidRDefault="00F96ECC" w:rsidP="008F68BC">
      <w:pPr>
        <w:pStyle w:val="Smlouva-slo"/>
        <w:numPr>
          <w:ilvl w:val="6"/>
          <w:numId w:val="6"/>
        </w:numPr>
        <w:tabs>
          <w:tab w:val="clear" w:pos="360"/>
        </w:tabs>
        <w:spacing w:line="240" w:lineRule="auto"/>
        <w:ind w:left="357" w:hanging="357"/>
        <w:rPr>
          <w:rFonts w:ascii="Tahoma" w:hAnsi="Tahoma" w:cs="Tahoma"/>
          <w:color w:val="FF0000"/>
          <w:sz w:val="22"/>
          <w:szCs w:val="22"/>
        </w:rPr>
      </w:pPr>
      <w:r w:rsidRPr="008F68BC">
        <w:rPr>
          <w:rFonts w:ascii="Tahoma" w:hAnsi="Tahoma" w:cs="Tahoma"/>
          <w:sz w:val="22"/>
          <w:szCs w:val="22"/>
        </w:rPr>
        <w:t>Celková odměna za inženýrskou činnost dle této smlouvy je stanovena dohodou smluvních stran a činí:</w:t>
      </w:r>
    </w:p>
    <w:p w14:paraId="1195F049" w14:textId="0D81A9E1" w:rsidR="00F96ECC" w:rsidRPr="00E27FC8" w:rsidRDefault="00F96ECC" w:rsidP="00F96ECC">
      <w:pPr>
        <w:tabs>
          <w:tab w:val="left" w:pos="3969"/>
        </w:tabs>
        <w:spacing w:before="120"/>
        <w:ind w:left="357"/>
        <w:jc w:val="both"/>
        <w:rPr>
          <w:rFonts w:ascii="Tahoma" w:hAnsi="Tahoma" w:cs="Tahoma"/>
          <w:sz w:val="22"/>
          <w:szCs w:val="22"/>
        </w:rPr>
      </w:pPr>
      <w:r w:rsidRPr="00E27FC8">
        <w:rPr>
          <w:rFonts w:ascii="Tahoma" w:hAnsi="Tahoma" w:cs="Tahoma"/>
          <w:sz w:val="22"/>
          <w:szCs w:val="22"/>
        </w:rPr>
        <w:t>odměna bez DPH</w:t>
      </w:r>
      <w:r w:rsidRPr="00E27FC8">
        <w:rPr>
          <w:rFonts w:ascii="Tahoma" w:hAnsi="Tahoma" w:cs="Tahoma"/>
          <w:sz w:val="22"/>
          <w:szCs w:val="22"/>
        </w:rPr>
        <w:tab/>
      </w:r>
      <w:r w:rsidR="00A03CBC">
        <w:rPr>
          <w:rFonts w:ascii="Tahoma" w:hAnsi="Tahoma" w:cs="Tahoma"/>
          <w:sz w:val="22"/>
          <w:szCs w:val="22"/>
        </w:rPr>
        <w:tab/>
        <w:t xml:space="preserve">240.000,- </w:t>
      </w:r>
      <w:r w:rsidRPr="00E27FC8">
        <w:rPr>
          <w:rFonts w:ascii="Tahoma" w:hAnsi="Tahoma" w:cs="Tahoma"/>
          <w:sz w:val="22"/>
          <w:szCs w:val="22"/>
        </w:rPr>
        <w:t>Kč</w:t>
      </w:r>
    </w:p>
    <w:p w14:paraId="402FC8D5" w14:textId="425EC9EC" w:rsidR="00F96ECC" w:rsidRPr="00E27FC8" w:rsidRDefault="00F96ECC" w:rsidP="00F96ECC">
      <w:pPr>
        <w:tabs>
          <w:tab w:val="left" w:pos="3969"/>
        </w:tabs>
        <w:spacing w:before="120"/>
        <w:ind w:left="357"/>
        <w:jc w:val="both"/>
        <w:rPr>
          <w:rFonts w:ascii="Tahoma" w:hAnsi="Tahoma" w:cs="Tahoma"/>
          <w:sz w:val="22"/>
          <w:szCs w:val="22"/>
        </w:rPr>
      </w:pPr>
      <w:r w:rsidRPr="00E27FC8">
        <w:rPr>
          <w:rFonts w:ascii="Tahoma" w:hAnsi="Tahoma" w:cs="Tahoma"/>
          <w:sz w:val="22"/>
          <w:szCs w:val="22"/>
        </w:rPr>
        <w:t>DPH</w:t>
      </w:r>
      <w:r w:rsidR="00E27FC8" w:rsidRPr="00E27FC8">
        <w:rPr>
          <w:rFonts w:ascii="Tahoma" w:hAnsi="Tahoma" w:cs="Tahoma"/>
          <w:sz w:val="22"/>
          <w:szCs w:val="22"/>
        </w:rPr>
        <w:tab/>
        <w:t xml:space="preserve"> </w:t>
      </w:r>
      <w:r w:rsidR="00A03CBC">
        <w:rPr>
          <w:rFonts w:ascii="Tahoma" w:hAnsi="Tahoma" w:cs="Tahoma"/>
          <w:sz w:val="22"/>
          <w:szCs w:val="22"/>
        </w:rPr>
        <w:tab/>
        <w:t xml:space="preserve">50.400,- </w:t>
      </w:r>
      <w:r w:rsidRPr="00E27FC8">
        <w:rPr>
          <w:rFonts w:ascii="Tahoma" w:hAnsi="Tahoma" w:cs="Tahoma"/>
          <w:sz w:val="22"/>
          <w:szCs w:val="22"/>
        </w:rPr>
        <w:t>Kč</w:t>
      </w:r>
    </w:p>
    <w:p w14:paraId="4B89510E" w14:textId="49752A84" w:rsidR="0029737C" w:rsidRPr="0029737C" w:rsidRDefault="00F96ECC" w:rsidP="0029737C">
      <w:pPr>
        <w:tabs>
          <w:tab w:val="left" w:pos="3969"/>
        </w:tabs>
        <w:spacing w:before="120"/>
        <w:ind w:left="357"/>
        <w:jc w:val="both"/>
        <w:rPr>
          <w:rFonts w:ascii="Tahoma" w:hAnsi="Tahoma" w:cs="Tahoma"/>
          <w:b/>
          <w:bCs/>
          <w:sz w:val="22"/>
          <w:szCs w:val="22"/>
        </w:rPr>
      </w:pPr>
      <w:r w:rsidRPr="00E27FC8">
        <w:rPr>
          <w:rFonts w:ascii="Tahoma" w:hAnsi="Tahoma" w:cs="Tahoma"/>
          <w:b/>
          <w:bCs/>
          <w:sz w:val="22"/>
          <w:szCs w:val="22"/>
        </w:rPr>
        <w:t>odměna</w:t>
      </w:r>
      <w:r w:rsidRPr="00E27FC8">
        <w:rPr>
          <w:rFonts w:ascii="Tahoma" w:hAnsi="Tahoma" w:cs="Tahoma"/>
          <w:sz w:val="22"/>
          <w:szCs w:val="22"/>
        </w:rPr>
        <w:t xml:space="preserve"> </w:t>
      </w:r>
      <w:r w:rsidRPr="00E27FC8">
        <w:rPr>
          <w:rFonts w:ascii="Tahoma" w:hAnsi="Tahoma" w:cs="Tahoma"/>
          <w:b/>
          <w:bCs/>
          <w:sz w:val="22"/>
          <w:szCs w:val="22"/>
        </w:rPr>
        <w:t>celkem včetně DPH</w:t>
      </w:r>
      <w:r w:rsidRPr="00E27FC8">
        <w:rPr>
          <w:rFonts w:ascii="Tahoma" w:hAnsi="Tahoma" w:cs="Tahoma"/>
          <w:b/>
          <w:bCs/>
          <w:sz w:val="22"/>
          <w:szCs w:val="22"/>
        </w:rPr>
        <w:tab/>
      </w:r>
      <w:r w:rsidR="00A03CBC">
        <w:rPr>
          <w:rFonts w:ascii="Tahoma" w:hAnsi="Tahoma" w:cs="Tahoma"/>
          <w:b/>
          <w:bCs/>
          <w:sz w:val="22"/>
          <w:szCs w:val="22"/>
        </w:rPr>
        <w:tab/>
        <w:t>290.400,-</w:t>
      </w:r>
      <w:r w:rsidRPr="00E27FC8">
        <w:rPr>
          <w:rFonts w:ascii="Tahoma" w:hAnsi="Tahoma" w:cs="Tahoma"/>
          <w:b/>
          <w:bCs/>
          <w:sz w:val="22"/>
          <w:szCs w:val="22"/>
        </w:rPr>
        <w:t> Kč</w:t>
      </w:r>
    </w:p>
    <w:p w14:paraId="31F95BEC" w14:textId="73487AE0" w:rsidR="00903A9F" w:rsidRDefault="00903A9F" w:rsidP="00903A9F">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odměně jsou zahrnuty veškeré náklady příkazníka nutně nebo účelně vynaložené při</w:t>
      </w:r>
      <w:r>
        <w:rPr>
          <w:rFonts w:ascii="Tahoma" w:hAnsi="Tahoma" w:cs="Tahoma"/>
          <w:sz w:val="22"/>
          <w:szCs w:val="22"/>
        </w:rPr>
        <w:t> </w:t>
      </w:r>
      <w:r w:rsidRPr="002820E4">
        <w:rPr>
          <w:rFonts w:ascii="Tahoma" w:hAnsi="Tahoma" w:cs="Tahoma"/>
          <w:sz w:val="22"/>
          <w:szCs w:val="22"/>
        </w:rPr>
        <w:t>plnění jeho závazk</w:t>
      </w:r>
      <w:r>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Pr>
          <w:rFonts w:ascii="Tahoma" w:hAnsi="Tahoma" w:cs="Tahoma"/>
          <w:sz w:val="22"/>
          <w:szCs w:val="22"/>
        </w:rPr>
        <w:t>.</w:t>
      </w:r>
      <w:r w:rsidRPr="007E61A8">
        <w:rPr>
          <w:rFonts w:ascii="Tahoma" w:hAnsi="Tahoma" w:cs="Tahoma"/>
          <w:sz w:val="22"/>
          <w:szCs w:val="22"/>
        </w:rPr>
        <w:t xml:space="preserve"> </w:t>
      </w:r>
    </w:p>
    <w:p w14:paraId="5AE8682E" w14:textId="77777777" w:rsidR="00903A9F" w:rsidRDefault="00903A9F" w:rsidP="00903A9F">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 je dohodnuta jako nejvýše přípustná a platí po celou dobu platnosti smlouvy.</w:t>
      </w:r>
    </w:p>
    <w:p w14:paraId="20F19949" w14:textId="77777777" w:rsidR="00903A9F" w:rsidRPr="003B1CA6" w:rsidRDefault="00903A9F" w:rsidP="00903A9F">
      <w:pPr>
        <w:pStyle w:val="Smlouva-slo"/>
        <w:numPr>
          <w:ilvl w:val="6"/>
          <w:numId w:val="6"/>
        </w:numPr>
        <w:tabs>
          <w:tab w:val="clear" w:pos="360"/>
          <w:tab w:val="num" w:pos="426"/>
        </w:tabs>
        <w:spacing w:line="240" w:lineRule="auto"/>
        <w:ind w:left="426" w:hanging="426"/>
        <w:rPr>
          <w:rFonts w:ascii="Tahoma" w:hAnsi="Tahoma" w:cs="Tahoma"/>
          <w:sz w:val="22"/>
          <w:szCs w:val="22"/>
        </w:rPr>
      </w:pPr>
      <w:r w:rsidRPr="007A1D24">
        <w:rPr>
          <w:rFonts w:ascii="Tahoma" w:hAnsi="Tahoma" w:cs="Tahoma"/>
          <w:sz w:val="22"/>
          <w:szCs w:val="22"/>
        </w:rPr>
        <w:t>Pokud dojde k prodloužení doby realizace stavby oproti době realizace stavby stanovené ve smlouvě se zhotovitelem (na základě uzavření dodatku ke smlouvě o dílo, nebo v důsledku prodlení zhotovitele), vyhrazuje si příkazce</w:t>
      </w:r>
      <w:r w:rsidRPr="00575ECE">
        <w:rPr>
          <w:rFonts w:ascii="Tahoma" w:hAnsi="Tahoma" w:cs="Tahoma"/>
          <w:sz w:val="22"/>
          <w:szCs w:val="22"/>
        </w:rPr>
        <w:t xml:space="preserve">, s přiměřeným použitím </w:t>
      </w:r>
      <w:r w:rsidRPr="00E3439B">
        <w:rPr>
          <w:rFonts w:ascii="Tahoma" w:hAnsi="Tahoma" w:cs="Tahoma"/>
          <w:sz w:val="22"/>
          <w:szCs w:val="22"/>
        </w:rPr>
        <w:t xml:space="preserve">§ 100 </w:t>
      </w:r>
      <w:r w:rsidRPr="00737D04">
        <w:rPr>
          <w:rFonts w:ascii="Tahoma" w:hAnsi="Tahoma" w:cs="Tahoma"/>
          <w:sz w:val="22"/>
          <w:szCs w:val="22"/>
        </w:rPr>
        <w:t xml:space="preserve">odst. 1 </w:t>
      </w:r>
      <w:r>
        <w:rPr>
          <w:rFonts w:ascii="Tahoma" w:hAnsi="Tahoma" w:cs="Tahoma"/>
          <w:sz w:val="22"/>
          <w:szCs w:val="22"/>
        </w:rPr>
        <w:t>zákona č. 134/2016 Sb., o zadávání veřejných zakázek, ve znění pozdějších předpisů</w:t>
      </w:r>
      <w:r w:rsidRPr="00737D04">
        <w:rPr>
          <w:rFonts w:ascii="Tahoma" w:hAnsi="Tahoma" w:cs="Tahoma"/>
          <w:sz w:val="22"/>
          <w:szCs w:val="22"/>
        </w:rPr>
        <w:t xml:space="preserve"> </w:t>
      </w:r>
      <w:r>
        <w:rPr>
          <w:rFonts w:ascii="Tahoma" w:hAnsi="Tahoma" w:cs="Tahoma"/>
          <w:sz w:val="22"/>
          <w:szCs w:val="22"/>
        </w:rPr>
        <w:t xml:space="preserve">(dále jen „ZZVZ“) </w:t>
      </w:r>
      <w:r w:rsidRPr="00575ECE">
        <w:rPr>
          <w:rFonts w:ascii="Tahoma" w:hAnsi="Tahoma" w:cs="Tahoma"/>
          <w:sz w:val="22"/>
          <w:szCs w:val="22"/>
        </w:rPr>
        <w:t>právo navýšit příkazníkovi odměnu uvedenou v odstavci 1 tohoto článku smlouvy. Navýšení odměny se v tomto případě vypočítá jako součin odměny dle odst. 1 písm. b) tohoto článku smlouvy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14:paraId="6F92408F" w14:textId="77777777" w:rsidR="00903A9F" w:rsidRPr="002820E4" w:rsidRDefault="00903A9F" w:rsidP="00903A9F">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 odpovídá za to, že sazba daně z přidané hodnoty je stanovena v souladu s platnými právními předpisy; v případě, že dojde ke</w:t>
      </w:r>
      <w:r>
        <w:rPr>
          <w:rFonts w:ascii="Tahoma" w:hAnsi="Tahoma" w:cs="Tahoma"/>
          <w:sz w:val="22"/>
          <w:szCs w:val="22"/>
        </w:rPr>
        <w:t> </w:t>
      </w:r>
      <w:r w:rsidRPr="002820E4">
        <w:rPr>
          <w:rFonts w:ascii="Tahoma" w:hAnsi="Tahoma" w:cs="Tahoma"/>
          <w:sz w:val="22"/>
          <w:szCs w:val="22"/>
        </w:rPr>
        <w:t xml:space="preserve">změně zákonné sazby DPH, je </w:t>
      </w:r>
      <w:r>
        <w:rPr>
          <w:rFonts w:ascii="Tahoma" w:hAnsi="Tahoma" w:cs="Tahoma"/>
          <w:sz w:val="22"/>
          <w:szCs w:val="22"/>
        </w:rPr>
        <w:t xml:space="preserve">příkazce </w:t>
      </w:r>
      <w:r w:rsidRPr="002820E4">
        <w:rPr>
          <w:rFonts w:ascii="Tahoma" w:hAnsi="Tahoma" w:cs="Tahoma"/>
          <w:sz w:val="22"/>
          <w:szCs w:val="22"/>
        </w:rPr>
        <w:t>povinen k odměně bez DPH účtovat DPH v platné výši. Smluvní strany se dohodly, že v případě změny výše odměny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 xml:space="preserve">náležitosti </w:t>
      </w:r>
      <w:r w:rsidR="00331A19" w:rsidRPr="002820E4">
        <w:rPr>
          <w:rFonts w:ascii="Tahoma" w:hAnsi="Tahoma" w:cs="Tahoma"/>
          <w:sz w:val="22"/>
          <w:szCs w:val="22"/>
        </w:rPr>
        <w:lastRenderedPageBreak/>
        <w:t>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64B5F774" w:rsidR="0070425B" w:rsidRPr="00392E35"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Pr="002820E4">
        <w:rPr>
          <w:rFonts w:ascii="Tahoma" w:hAnsi="Tahoma" w:cs="Tahoma"/>
          <w:sz w:val="22"/>
          <w:szCs w:val="22"/>
        </w:rPr>
        <w:t>pro stavbu</w:t>
      </w:r>
      <w:r w:rsidR="00532A94" w:rsidRPr="00532A94">
        <w:rPr>
          <w:rFonts w:ascii="Tahoma" w:hAnsi="Tahoma" w:cs="Tahoma"/>
          <w:sz w:val="22"/>
          <w:szCs w:val="22"/>
        </w:rPr>
        <w:t xml:space="preserve"> </w:t>
      </w:r>
      <w:r w:rsidR="00532A94">
        <w:rPr>
          <w:rFonts w:ascii="Tahoma" w:hAnsi="Tahoma" w:cs="Tahoma"/>
          <w:sz w:val="22"/>
          <w:szCs w:val="22"/>
        </w:rPr>
        <w:t xml:space="preserve">Rekonstrukce </w:t>
      </w:r>
      <w:r w:rsidR="00063219">
        <w:rPr>
          <w:rFonts w:ascii="Tahoma" w:hAnsi="Tahoma" w:cs="Tahoma"/>
          <w:sz w:val="22"/>
          <w:szCs w:val="22"/>
        </w:rPr>
        <w:t xml:space="preserve">obloukové </w:t>
      </w:r>
      <w:r w:rsidR="00532A94">
        <w:rPr>
          <w:rFonts w:ascii="Tahoma" w:hAnsi="Tahoma" w:cs="Tahoma"/>
          <w:sz w:val="22"/>
          <w:szCs w:val="22"/>
        </w:rPr>
        <w:t>střechy</w:t>
      </w:r>
      <w:r w:rsidR="009C6E93" w:rsidRPr="00392E35">
        <w:rPr>
          <w:rFonts w:ascii="Tahoma" w:hAnsi="Tahoma" w:cs="Tahoma"/>
          <w:sz w:val="22"/>
          <w:szCs w:val="22"/>
        </w:rPr>
        <w:t>“</w:t>
      </w:r>
      <w:r w:rsidRPr="00392E35">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23F10BC2" w:rsidR="00D26615" w:rsidRPr="00FE6B1C" w:rsidRDefault="00FE6B1C" w:rsidP="00FE6B1C">
      <w:pPr>
        <w:pStyle w:val="Smlouva-slo"/>
        <w:widowControl w:val="0"/>
        <w:numPr>
          <w:ilvl w:val="0"/>
          <w:numId w:val="7"/>
        </w:numPr>
        <w:spacing w:line="240" w:lineRule="auto"/>
        <w:rPr>
          <w:rFonts w:ascii="Tahoma" w:hAnsi="Tahoma" w:cs="Tahoma"/>
          <w:sz w:val="22"/>
          <w:szCs w:val="22"/>
        </w:rPr>
      </w:pPr>
      <w:r>
        <w:rPr>
          <w:rFonts w:ascii="Tahoma" w:hAnsi="Tahoma" w:cs="Tahoma"/>
          <w:sz w:val="22"/>
          <w:szCs w:val="22"/>
        </w:rPr>
        <w:t>S</w:t>
      </w:r>
      <w:r w:rsidR="00D26615" w:rsidRPr="00FE6B1C">
        <w:rPr>
          <w:rFonts w:ascii="Tahoma" w:hAnsi="Tahoma" w:cs="Tahoma"/>
          <w:sz w:val="22"/>
          <w:szCs w:val="22"/>
        </w:rPr>
        <w:t>mluvní strany se dohodly, že</w:t>
      </w:r>
      <w:r w:rsidR="005D0360" w:rsidRPr="00FE6B1C">
        <w:rPr>
          <w:rFonts w:ascii="Tahoma" w:hAnsi="Tahoma" w:cs="Tahoma"/>
          <w:sz w:val="22"/>
          <w:szCs w:val="22"/>
        </w:rPr>
        <w:t xml:space="preserve"> odměna dle čl. V odst. 1 této smlouvy bude</w:t>
      </w:r>
      <w:r w:rsidR="001A5EBB" w:rsidRPr="00FE6B1C">
        <w:rPr>
          <w:rFonts w:ascii="Tahoma" w:hAnsi="Tahoma" w:cs="Tahoma"/>
          <w:sz w:val="22"/>
          <w:szCs w:val="22"/>
        </w:rPr>
        <w:t xml:space="preserve"> uhrazena jednorázově na základě faktury, kterou je příkazník oprávněn vystavit</w:t>
      </w:r>
      <w:r w:rsidR="005D0360" w:rsidRPr="00FE6B1C">
        <w:rPr>
          <w:rFonts w:ascii="Tahoma" w:hAnsi="Tahoma" w:cs="Tahoma"/>
          <w:sz w:val="22"/>
          <w:szCs w:val="22"/>
        </w:rPr>
        <w:t xml:space="preserve"> po ukončení výkonu inženýrské činnosti ve smyslu čl. IV odst. 2 této smlouvy.</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E811F00" w14:textId="712B4099" w:rsidR="004E26B2" w:rsidRDefault="00C30808" w:rsidP="008A12F4">
      <w:pPr>
        <w:numPr>
          <w:ilvl w:val="1"/>
          <w:numId w:val="17"/>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4E26B2">
        <w:rPr>
          <w:rFonts w:ascii="Tahoma" w:hAnsi="Tahoma" w:cs="Tahoma"/>
          <w:sz w:val="22"/>
          <w:szCs w:val="22"/>
        </w:rPr>
        <w:t>.</w:t>
      </w:r>
    </w:p>
    <w:p w14:paraId="2F19702E" w14:textId="25176B6E" w:rsidR="006A2CDB" w:rsidRPr="00A31D53" w:rsidRDefault="006A2CDB" w:rsidP="004E26B2">
      <w:pPr>
        <w:spacing w:before="60"/>
        <w:ind w:left="714"/>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lastRenderedPageBreak/>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3B79B02B"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8A7F82" w:rsidRPr="001B176B">
        <w:rPr>
          <w:rFonts w:ascii="Tahoma" w:hAnsi="Tahoma" w:cs="Tahoma"/>
          <w:sz w:val="22"/>
          <w:szCs w:val="22"/>
        </w:rPr>
        <w:t>t</w:t>
      </w:r>
      <w:r w:rsidRPr="001B176B">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 xml:space="preserve">Příkazník je oprávněn vykonávat funkci technického dozoru stavebníka pouze prostřednictvím osoby, která splňuje stanovené předpoklady odborné způsobilosti </w:t>
      </w:r>
      <w:r w:rsidRPr="008C6C60">
        <w:rPr>
          <w:rFonts w:ascii="Tahoma" w:hAnsi="Tahoma" w:cs="Tahoma"/>
          <w:sz w:val="22"/>
          <w:szCs w:val="22"/>
        </w:rPr>
        <w:lastRenderedPageBreak/>
        <w:t>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BD44F2"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 xml:space="preserve">min. </w:t>
      </w:r>
      <w:r w:rsidR="00AE2267" w:rsidRPr="00BD44F2">
        <w:rPr>
          <w:rFonts w:ascii="Tahoma" w:hAnsi="Tahoma" w:cs="Tahoma"/>
          <w:sz w:val="22"/>
          <w:szCs w:val="22"/>
        </w:rPr>
        <w:t>1 mil. Kč, s maximální spoluúčastí 10 tis.</w:t>
      </w:r>
      <w:r w:rsidR="002A74FF" w:rsidRPr="00BD44F2">
        <w:rPr>
          <w:rFonts w:ascii="Tahoma" w:hAnsi="Tahoma" w:cs="Tahoma"/>
          <w:sz w:val="22"/>
          <w:szCs w:val="22"/>
        </w:rPr>
        <w:t> </w:t>
      </w:r>
      <w:r w:rsidR="00AE2267" w:rsidRPr="00BD44F2">
        <w:rPr>
          <w:rFonts w:ascii="Tahoma" w:hAnsi="Tahoma" w:cs="Tahoma"/>
          <w:sz w:val="22"/>
          <w:szCs w:val="22"/>
        </w:rPr>
        <w:t>Kč</w:t>
      </w:r>
      <w:r w:rsidR="001F1B80" w:rsidRPr="00BD44F2">
        <w:rPr>
          <w:rFonts w:ascii="Tahoma" w:hAnsi="Tahoma" w:cs="Tahoma"/>
          <w:sz w:val="22"/>
          <w:szCs w:val="22"/>
        </w:rPr>
        <w:t xml:space="preserve"> (nebo s maximální spoluúčastí 1 % v případě, že je spoluúčast uvedena v %)</w:t>
      </w:r>
      <w:r w:rsidR="00267891" w:rsidRPr="00BD44F2">
        <w:rPr>
          <w:rFonts w:ascii="Tahoma" w:hAnsi="Tahoma" w:cs="Tahoma"/>
          <w:sz w:val="22"/>
          <w:szCs w:val="22"/>
        </w:rPr>
        <w:t>.</w:t>
      </w:r>
    </w:p>
    <w:p w14:paraId="31BF2EAD" w14:textId="77777777" w:rsidR="00903A9F" w:rsidRPr="007A1D24" w:rsidRDefault="00903A9F" w:rsidP="00903A9F">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00B464F9">
        <w:rPr>
          <w:rFonts w:ascii="Tahoma" w:eastAsia="Tahoma" w:hAnsi="Tahoma" w:cs="Tahoma"/>
          <w:sz w:val="22"/>
          <w:szCs w:val="22"/>
        </w:rPr>
        <w:t>Příkazník je povinen zajistit trvání pojistné smlouvy na požadované pojištění dle odst. 4 tohoto článku smlouvy rovněž v případech jakéhokoliv prodloužení doby realizace stavby oproti původně předpokládané době realizace.</w:t>
      </w:r>
    </w:p>
    <w:p w14:paraId="0E6E677C" w14:textId="77777777" w:rsidR="00903A9F" w:rsidRPr="006555A8" w:rsidRDefault="00903A9F" w:rsidP="00903A9F">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 je povinen předat příkazci při podpisu této smlouvy a dále kdykoli na vyžádání příkazce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Pr>
          <w:rFonts w:ascii="Tahoma" w:hAnsi="Tahoma" w:cs="Tahoma"/>
          <w:sz w:val="22"/>
          <w:szCs w:val="22"/>
        </w:rPr>
        <w:t> </w:t>
      </w:r>
      <w:r w:rsidRPr="0DC3AD64">
        <w:rPr>
          <w:rFonts w:ascii="Tahoma" w:hAnsi="Tahoma" w:cs="Tahoma"/>
          <w:sz w:val="22"/>
          <w:szCs w:val="22"/>
        </w:rPr>
        <w:t>sublimity plnění a výši spoluúčasti)</w:t>
      </w:r>
      <w:r>
        <w:rPr>
          <w:rFonts w:ascii="Tahoma" w:hAnsi="Tahoma" w:cs="Tahoma"/>
          <w:sz w:val="22"/>
          <w:szCs w:val="22"/>
        </w:rPr>
        <w:t>, a to nejpozději do 10 dnů od obdržení příslušné žádosti</w:t>
      </w:r>
      <w:r w:rsidRPr="0DC3AD64">
        <w:rPr>
          <w:rFonts w:ascii="Tahoma" w:hAnsi="Tahoma" w:cs="Tahoma"/>
          <w:sz w:val="22"/>
          <w:szCs w:val="22"/>
        </w:rPr>
        <w:t>. Certifikát dle předchozí věty nesmí být starší jednoho měsíce. 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1D399BB3"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A93E24" w:rsidRPr="00FD336F">
        <w:rPr>
          <w:rFonts w:ascii="Tahoma" w:hAnsi="Tahoma" w:cs="Tahoma"/>
          <w:sz w:val="22"/>
          <w:szCs w:val="22"/>
        </w:rPr>
        <w:t>5 000</w:t>
      </w:r>
      <w:r w:rsidR="002A74FF" w:rsidRPr="00FD336F">
        <w:rPr>
          <w:rFonts w:ascii="Tahoma" w:hAnsi="Tahoma" w:cs="Tahoma"/>
          <w:sz w:val="22"/>
          <w:szCs w:val="22"/>
        </w:rPr>
        <w:t> </w:t>
      </w:r>
      <w:r w:rsidR="00267891" w:rsidRPr="00FD336F">
        <w:rPr>
          <w:rFonts w:ascii="Tahoma" w:hAnsi="Tahoma" w:cs="Tahoma"/>
          <w:sz w:val="22"/>
          <w:szCs w:val="22"/>
        </w:rPr>
        <w:t>Kč</w:t>
      </w:r>
      <w:r w:rsidR="00267891">
        <w:rPr>
          <w:rFonts w:ascii="Tahoma" w:hAnsi="Tahoma" w:cs="Tahoma"/>
          <w:sz w:val="22"/>
          <w:szCs w:val="22"/>
        </w:rPr>
        <w:t xml:space="preserve"> za každý zjištěný případ.</w:t>
      </w:r>
    </w:p>
    <w:p w14:paraId="4616DCD9" w14:textId="288FCCED" w:rsidR="00E85CC5" w:rsidRPr="00E85CC5" w:rsidRDefault="00E85CC5" w:rsidP="00E85CC5">
      <w:pPr>
        <w:pStyle w:val="Smlouva-slo"/>
        <w:numPr>
          <w:ilvl w:val="0"/>
          <w:numId w:val="9"/>
        </w:numPr>
        <w:spacing w:line="240" w:lineRule="auto"/>
        <w:rPr>
          <w:rFonts w:ascii="Tahoma" w:eastAsia="Tahoma" w:hAnsi="Tahoma" w:cs="Tahoma"/>
          <w:sz w:val="22"/>
          <w:szCs w:val="22"/>
        </w:rPr>
      </w:pPr>
      <w:bookmarkStart w:id="0" w:name="_Hlk183612272"/>
      <w:r w:rsidRPr="00B464F9">
        <w:rPr>
          <w:rFonts w:ascii="Tahoma" w:eastAsia="Tahoma" w:hAnsi="Tahoma" w:cs="Tahoma"/>
          <w:sz w:val="22"/>
          <w:szCs w:val="22"/>
        </w:rPr>
        <w:t>V případě</w:t>
      </w:r>
      <w:bookmarkEnd w:id="0"/>
      <w:r w:rsidRPr="00B464F9">
        <w:rPr>
          <w:rFonts w:ascii="Tahoma" w:eastAsia="Tahoma" w:hAnsi="Tahoma" w:cs="Tahoma"/>
          <w:sz w:val="22"/>
          <w:szCs w:val="22"/>
        </w:rPr>
        <w:t>, že příkazník poruší svou povinnost stanovenou v čl. IX odst. 6 této smlouvy, je povinen zaplatit příkazci smluvní pokutu ve výši</w:t>
      </w:r>
      <w:r>
        <w:rPr>
          <w:rFonts w:ascii="Tahoma" w:eastAsia="Tahoma" w:hAnsi="Tahoma" w:cs="Tahoma"/>
          <w:sz w:val="22"/>
          <w:szCs w:val="22"/>
        </w:rPr>
        <w:t xml:space="preserve"> 5 000</w:t>
      </w:r>
      <w:r>
        <w:rPr>
          <w:rFonts w:ascii="Tahoma" w:eastAsia="Tahoma" w:hAnsi="Tahoma" w:cs="Tahoma"/>
          <w:color w:val="FF00FF"/>
          <w:sz w:val="22"/>
          <w:szCs w:val="22"/>
        </w:rPr>
        <w:t xml:space="preserve"> </w:t>
      </w:r>
      <w:r w:rsidRPr="00B464F9">
        <w:rPr>
          <w:rFonts w:ascii="Tahoma" w:eastAsia="Tahoma" w:hAnsi="Tahoma" w:cs="Tahoma"/>
          <w:sz w:val="22"/>
          <w:szCs w:val="22"/>
        </w:rPr>
        <w:t>Kč za každý zjištěný případ a každý i započatý den, ve kterém bude porušení trvat.</w:t>
      </w:r>
    </w:p>
    <w:p w14:paraId="032EF72B" w14:textId="61642F92" w:rsidR="00041C5B" w:rsidRPr="002820E4" w:rsidRDefault="00E85CC5" w:rsidP="000D44B7">
      <w:pPr>
        <w:pStyle w:val="Smlouva-slo"/>
        <w:numPr>
          <w:ilvl w:val="0"/>
          <w:numId w:val="9"/>
        </w:numPr>
        <w:tabs>
          <w:tab w:val="clear" w:pos="360"/>
        </w:tabs>
        <w:spacing w:line="240" w:lineRule="auto"/>
        <w:ind w:left="357" w:hanging="357"/>
        <w:rPr>
          <w:rFonts w:ascii="Tahoma" w:hAnsi="Tahoma" w:cs="Tahoma"/>
          <w:sz w:val="22"/>
          <w:szCs w:val="22"/>
        </w:rPr>
      </w:pPr>
      <w:r w:rsidRPr="00B464F9">
        <w:rPr>
          <w:rFonts w:ascii="Tahoma" w:eastAsia="Tahoma" w:hAnsi="Tahoma" w:cs="Tahoma"/>
          <w:sz w:val="22"/>
          <w:szCs w:val="22"/>
        </w:rPr>
        <w:t>V případě</w:t>
      </w:r>
      <w:r w:rsidR="00041C5B" w:rsidRPr="002820E4">
        <w:rPr>
          <w:rFonts w:ascii="Tahoma" w:hAnsi="Tahoma" w:cs="Tahoma"/>
          <w:sz w:val="22"/>
          <w:szCs w:val="22"/>
        </w:rPr>
        <w:t xml:space="preserve">,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sidR="00267891">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A93E24" w:rsidRPr="003C0161">
        <w:rPr>
          <w:rFonts w:ascii="Tahoma" w:hAnsi="Tahoma" w:cs="Tahoma"/>
          <w:sz w:val="22"/>
          <w:szCs w:val="22"/>
        </w:rPr>
        <w:t>0,4</w:t>
      </w:r>
      <w:r w:rsidR="00267891" w:rsidRPr="003C0161">
        <w:rPr>
          <w:rFonts w:ascii="Tahoma" w:hAnsi="Tahoma" w:cs="Tahoma"/>
          <w:sz w:val="22"/>
          <w:szCs w:val="22"/>
        </w:rPr>
        <w:t> </w:t>
      </w:r>
      <w:r w:rsidR="00041C5B" w:rsidRPr="003C016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sidR="00267891">
        <w:rPr>
          <w:rFonts w:ascii="Tahoma" w:hAnsi="Tahoma" w:cs="Tahoma"/>
          <w:sz w:val="22"/>
          <w:szCs w:val="22"/>
        </w:rPr>
        <w:t> </w:t>
      </w:r>
      <w:r w:rsidR="00041C5B" w:rsidRPr="002820E4">
        <w:rPr>
          <w:rFonts w:ascii="Tahoma" w:hAnsi="Tahoma" w:cs="Tahoma"/>
          <w:sz w:val="22"/>
          <w:szCs w:val="22"/>
        </w:rPr>
        <w:t>to za každý i</w:t>
      </w:r>
      <w:r w:rsidR="00267891">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33C96ECE" w14:textId="776BF25D" w:rsidR="005222CE" w:rsidRPr="0029737C" w:rsidRDefault="005222CE" w:rsidP="0029737C">
      <w:pPr>
        <w:pStyle w:val="paragraph"/>
        <w:numPr>
          <w:ilvl w:val="0"/>
          <w:numId w:val="25"/>
        </w:numPr>
        <w:tabs>
          <w:tab w:val="clear" w:pos="720"/>
        </w:tabs>
        <w:spacing w:before="120" w:beforeAutospacing="0" w:after="0" w:afterAutospacing="0"/>
        <w:ind w:left="425" w:hanging="425"/>
        <w:jc w:val="both"/>
        <w:textAlignment w:val="baseline"/>
        <w:rPr>
          <w:rStyle w:val="normaltextrun"/>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lastRenderedPageBreak/>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3C79C4F0" w14:textId="3DC74D0D" w:rsidR="00E85CC5" w:rsidRPr="00E85CC5" w:rsidRDefault="00041C5B" w:rsidP="00E85CC5">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26850135" w14:textId="4D6B6432" w:rsidR="00E85CC5" w:rsidRDefault="00E85CC5" w:rsidP="00E85CC5">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Pr="001F4656">
        <w:rPr>
          <w:rFonts w:ascii="Tahoma" w:hAnsi="Tahoma" w:cs="Tahoma"/>
          <w:sz w:val="22"/>
          <w:szCs w:val="22"/>
        </w:rPr>
        <w:t>dnem jejího podpisu oběma smluvními stranami a 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w:t>
      </w:r>
      <w:r w:rsidRPr="00DC35B6">
        <w:rPr>
          <w:rFonts w:ascii="Tahoma" w:hAnsi="Tahoma" w:cs="Tahoma"/>
          <w:sz w:val="22"/>
          <w:szCs w:val="22"/>
        </w:rPr>
        <w:t>em jejího uveřejnění v registru smluv</w:t>
      </w:r>
      <w:r>
        <w:rPr>
          <w:rFonts w:ascii="Tahoma" w:hAnsi="Tahoma" w:cs="Tahoma"/>
          <w:sz w:val="22"/>
          <w:szCs w:val="22"/>
        </w:rPr>
        <w:t>.</w:t>
      </w:r>
      <w:r w:rsidRPr="00967CC1">
        <w:rPr>
          <w:rFonts w:ascii="Tahoma" w:hAnsi="Tahoma" w:cs="Tahoma"/>
          <w:sz w:val="22"/>
          <w:szCs w:val="22"/>
        </w:rPr>
        <w:t xml:space="preserve"> </w:t>
      </w:r>
      <w:r w:rsidRPr="3348CDC7">
        <w:rPr>
          <w:rFonts w:ascii="Tahoma" w:hAnsi="Tahoma" w:cs="Tahoma"/>
          <w:sz w:val="22"/>
          <w:szCs w:val="22"/>
        </w:rPr>
        <w:t>Smluvní strany se dohodly, že pokud se na tuto smlouvu vztahuje povinnost uveřejnění v registru smluv ve smyslu zákona o registru smluv, provede uveřejnění příkazce</w:t>
      </w:r>
      <w:r>
        <w:rPr>
          <w:rFonts w:ascii="Tahoma" w:hAnsi="Tahoma" w:cs="Tahoma"/>
          <w:sz w:val="22"/>
          <w:szCs w:val="22"/>
        </w:rPr>
        <w:t>.</w:t>
      </w:r>
    </w:p>
    <w:p w14:paraId="733B4299" w14:textId="4B21D297" w:rsidR="00041C5B" w:rsidRPr="00C9728D"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podobě, </w:t>
      </w:r>
      <w:r w:rsidR="00041C5B" w:rsidRPr="0DC3AD64">
        <w:rPr>
          <w:rFonts w:ascii="Tahoma" w:hAnsi="Tahoma" w:cs="Tahoma"/>
          <w:sz w:val="22"/>
          <w:szCs w:val="22"/>
        </w:rPr>
        <w:t xml:space="preserve">je </w:t>
      </w:r>
      <w:r w:rsidR="00041C5B" w:rsidRPr="00A93E24">
        <w:rPr>
          <w:rFonts w:ascii="Tahoma" w:hAnsi="Tahoma" w:cs="Tahoma"/>
          <w:sz w:val="22"/>
          <w:szCs w:val="22"/>
        </w:rPr>
        <w:t xml:space="preserve">vyhotovena ve </w:t>
      </w:r>
      <w:r w:rsidR="00F91275" w:rsidRPr="00A93E24">
        <w:rPr>
          <w:rFonts w:ascii="Tahoma" w:hAnsi="Tahoma" w:cs="Tahoma"/>
          <w:sz w:val="22"/>
          <w:szCs w:val="22"/>
        </w:rPr>
        <w:t>třech</w:t>
      </w:r>
      <w:r w:rsidR="00041C5B" w:rsidRPr="00A93E24">
        <w:rPr>
          <w:rFonts w:ascii="Tahoma" w:hAnsi="Tahoma" w:cs="Tahoma"/>
          <w:sz w:val="22"/>
          <w:szCs w:val="22"/>
        </w:rPr>
        <w:t xml:space="preserve"> stejnopisech s platností originálu, přičemž </w:t>
      </w:r>
      <w:r w:rsidR="00E512D7" w:rsidRPr="00A93E24">
        <w:rPr>
          <w:rFonts w:ascii="Tahoma" w:hAnsi="Tahoma" w:cs="Tahoma"/>
          <w:sz w:val="22"/>
          <w:szCs w:val="22"/>
        </w:rPr>
        <w:t>příkazce</w:t>
      </w:r>
      <w:r w:rsidR="00041C5B" w:rsidRPr="00A93E24">
        <w:rPr>
          <w:rFonts w:ascii="Tahoma" w:hAnsi="Tahoma" w:cs="Tahoma"/>
          <w:sz w:val="22"/>
          <w:szCs w:val="22"/>
        </w:rPr>
        <w:t xml:space="preserve"> obdrží </w:t>
      </w:r>
      <w:r w:rsidR="00F91275" w:rsidRPr="00A93E24">
        <w:rPr>
          <w:rFonts w:ascii="Tahoma" w:hAnsi="Tahoma" w:cs="Tahoma"/>
          <w:sz w:val="22"/>
          <w:szCs w:val="22"/>
        </w:rPr>
        <w:t>dvě</w:t>
      </w:r>
      <w:r w:rsidR="00041C5B" w:rsidRPr="00A93E24">
        <w:rPr>
          <w:rFonts w:ascii="Tahoma" w:hAnsi="Tahoma" w:cs="Tahoma"/>
          <w:sz w:val="22"/>
          <w:szCs w:val="22"/>
        </w:rPr>
        <w:t xml:space="preserve"> a </w:t>
      </w:r>
      <w:r w:rsidR="00E512D7" w:rsidRPr="00A93E24">
        <w:rPr>
          <w:rFonts w:ascii="Tahoma" w:hAnsi="Tahoma" w:cs="Tahoma"/>
          <w:sz w:val="22"/>
          <w:szCs w:val="22"/>
        </w:rPr>
        <w:t>příkazník</w:t>
      </w:r>
      <w:r w:rsidR="00041C5B" w:rsidRPr="00A93E24">
        <w:rPr>
          <w:rFonts w:ascii="Tahoma" w:hAnsi="Tahoma" w:cs="Tahoma"/>
          <w:sz w:val="22"/>
          <w:szCs w:val="22"/>
        </w:rPr>
        <w:t xml:space="preserve"> jedno </w:t>
      </w:r>
      <w:r w:rsidR="00041C5B" w:rsidRPr="0DC3AD64">
        <w:rPr>
          <w:rFonts w:ascii="Tahoma" w:hAnsi="Tahoma" w:cs="Tahoma"/>
          <w:sz w:val="22"/>
          <w:szCs w:val="22"/>
        </w:rPr>
        <w:t>vyhotovení.</w:t>
      </w:r>
      <w:r w:rsidRPr="00C9728D">
        <w:rPr>
          <w:rFonts w:ascii="Tahoma" w:hAnsi="Tahoma" w:cs="Tahoma"/>
          <w:sz w:val="22"/>
          <w:szCs w:val="22"/>
        </w:rPr>
        <w:t xml:space="preserve"> </w:t>
      </w:r>
      <w:r>
        <w:rPr>
          <w:rFonts w:ascii="Tahoma" w:hAnsi="Tahoma" w:cs="Tahoma"/>
          <w:sz w:val="22"/>
          <w:szCs w:val="22"/>
        </w:rPr>
        <w:t>Je-li tato smlouva uzavřena elektronicky, obdrží obě smluvní strany její elektronický originál opatřený elektronickými podpisy.</w:t>
      </w:r>
      <w:r w:rsidRPr="00C9728D">
        <w:rPr>
          <w:rFonts w:ascii="Tahoma" w:hAnsi="Tahoma" w:cs="Tahoma"/>
          <w:sz w:val="22"/>
          <w:szCs w:val="22"/>
        </w:rPr>
        <w:t xml:space="preserve"> </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49697344" w14:textId="16BBF6C7" w:rsidR="0029737C" w:rsidRPr="0029737C" w:rsidRDefault="006F1E12" w:rsidP="0029737C">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A93E24" w:rsidRPr="003C0161">
          <w:rPr>
            <w:rStyle w:val="Hypertextovodkaz"/>
            <w:rFonts w:ascii="Tahoma" w:hAnsi="Tahoma" w:cs="Tahoma"/>
            <w:sz w:val="22"/>
            <w:szCs w:val="22"/>
          </w:rPr>
          <w:t>www.goa-orlova.cz</w:t>
        </w:r>
      </w:hyperlink>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46FC4990" w14:textId="02DA6AC2" w:rsidR="00041C5B"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A93E24">
              <w:rPr>
                <w:rFonts w:ascii="Tahoma" w:hAnsi="Tahoma" w:cs="Tahoma"/>
                <w:sz w:val="22"/>
                <w:szCs w:val="22"/>
              </w:rPr>
              <w:t xml:space="preserve"> Orlové </w:t>
            </w:r>
            <w:r w:rsidRPr="002820E4">
              <w:rPr>
                <w:rFonts w:ascii="Tahoma" w:hAnsi="Tahoma" w:cs="Tahoma"/>
                <w:sz w:val="22"/>
                <w:szCs w:val="22"/>
              </w:rPr>
              <w:t>dne</w:t>
            </w:r>
            <w:r w:rsidR="002A3BAF">
              <w:rPr>
                <w:rFonts w:ascii="Tahoma" w:hAnsi="Tahoma" w:cs="Tahoma"/>
                <w:sz w:val="22"/>
                <w:szCs w:val="22"/>
              </w:rPr>
              <w:t xml:space="preserve"> 1</w:t>
            </w:r>
            <w:r w:rsidR="005E4155">
              <w:rPr>
                <w:rFonts w:ascii="Tahoma" w:hAnsi="Tahoma" w:cs="Tahoma"/>
                <w:sz w:val="22"/>
                <w:szCs w:val="22"/>
              </w:rPr>
              <w:t>3. 5. 2025</w:t>
            </w:r>
            <w:r w:rsidRPr="002820E4">
              <w:rPr>
                <w:rFonts w:ascii="Tahoma" w:hAnsi="Tahoma" w:cs="Tahoma"/>
                <w:sz w:val="22"/>
                <w:szCs w:val="22"/>
              </w:rPr>
              <w:t xml:space="preserve"> </w:t>
            </w:r>
          </w:p>
          <w:p w14:paraId="0950006B" w14:textId="77777777" w:rsidR="0029737C" w:rsidRDefault="0029737C" w:rsidP="00676D26">
            <w:pPr>
              <w:pStyle w:val="Zhlav"/>
              <w:tabs>
                <w:tab w:val="clear" w:pos="4536"/>
                <w:tab w:val="clear" w:pos="9072"/>
              </w:tabs>
              <w:spacing w:before="240"/>
              <w:rPr>
                <w:rFonts w:ascii="Tahoma" w:hAnsi="Tahoma" w:cs="Tahoma"/>
                <w:sz w:val="22"/>
                <w:szCs w:val="22"/>
              </w:rPr>
            </w:pPr>
          </w:p>
          <w:p w14:paraId="170421B5" w14:textId="5D2CC99C" w:rsidR="0029737C" w:rsidRPr="002820E4" w:rsidRDefault="0029737C" w:rsidP="00676D26">
            <w:pPr>
              <w:pStyle w:val="Zhlav"/>
              <w:tabs>
                <w:tab w:val="clear" w:pos="4536"/>
                <w:tab w:val="clear" w:pos="9072"/>
              </w:tabs>
              <w:spacing w:before="240"/>
              <w:rPr>
                <w:rFonts w:ascii="Tahoma" w:hAnsi="Tahoma" w:cs="Tahoma"/>
                <w:sz w:val="22"/>
                <w:szCs w:val="22"/>
              </w:rPr>
            </w:pP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341370A8"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E27FC8">
              <w:rPr>
                <w:rFonts w:ascii="Tahoma" w:hAnsi="Tahoma" w:cs="Tahoma"/>
                <w:sz w:val="22"/>
                <w:szCs w:val="22"/>
              </w:rPr>
              <w:t xml:space="preserve"> </w:t>
            </w:r>
            <w:r w:rsidR="00A03CBC">
              <w:rPr>
                <w:rFonts w:ascii="Tahoma" w:hAnsi="Tahoma" w:cs="Tahoma"/>
                <w:sz w:val="22"/>
                <w:szCs w:val="22"/>
              </w:rPr>
              <w:t>Karviné</w:t>
            </w:r>
            <w:r w:rsidR="00676D26">
              <w:rPr>
                <w:rFonts w:ascii="Tahoma" w:hAnsi="Tahoma" w:cs="Tahoma"/>
                <w:sz w:val="22"/>
                <w:szCs w:val="22"/>
              </w:rPr>
              <w:t xml:space="preserve"> </w:t>
            </w:r>
            <w:r w:rsidRPr="002820E4">
              <w:rPr>
                <w:rFonts w:ascii="Tahoma" w:hAnsi="Tahoma" w:cs="Tahoma"/>
                <w:sz w:val="22"/>
                <w:szCs w:val="22"/>
              </w:rPr>
              <w:t>dne</w:t>
            </w:r>
            <w:r w:rsidR="008A7E33">
              <w:rPr>
                <w:rFonts w:ascii="Tahoma" w:hAnsi="Tahoma" w:cs="Tahoma"/>
                <w:sz w:val="22"/>
                <w:szCs w:val="22"/>
              </w:rPr>
              <w:t>:</w:t>
            </w:r>
            <w:r w:rsidR="00A03CBC">
              <w:rPr>
                <w:rFonts w:ascii="Tahoma" w:hAnsi="Tahoma" w:cs="Tahoma"/>
                <w:sz w:val="22"/>
                <w:szCs w:val="22"/>
              </w:rPr>
              <w:t xml:space="preserve"> </w:t>
            </w:r>
            <w:r w:rsidR="006F292F">
              <w:rPr>
                <w:rFonts w:ascii="Tahoma" w:hAnsi="Tahoma" w:cs="Tahoma"/>
                <w:sz w:val="22"/>
                <w:szCs w:val="22"/>
              </w:rPr>
              <w:t>27.</w:t>
            </w:r>
            <w:r w:rsidR="005E4155">
              <w:rPr>
                <w:rFonts w:ascii="Tahoma" w:hAnsi="Tahoma" w:cs="Tahoma"/>
                <w:sz w:val="22"/>
                <w:szCs w:val="22"/>
              </w:rPr>
              <w:t xml:space="preserve"> 5. 2025</w:t>
            </w:r>
            <w:bookmarkStart w:id="1" w:name="_GoBack"/>
            <w:bookmarkEnd w:id="1"/>
          </w:p>
        </w:tc>
      </w:tr>
      <w:tr w:rsidR="00041C5B" w:rsidRPr="002820E4" w14:paraId="09BA32B7" w14:textId="77777777" w:rsidTr="00676D26">
        <w:trPr>
          <w:trHeight w:val="261"/>
        </w:trPr>
        <w:tc>
          <w:tcPr>
            <w:tcW w:w="3393" w:type="dxa"/>
            <w:tcBorders>
              <w:top w:val="single" w:sz="4" w:space="0" w:color="auto"/>
            </w:tcBorders>
          </w:tcPr>
          <w:p w14:paraId="07AFE984" w14:textId="77777777" w:rsidR="00C04F39" w:rsidRDefault="00C7205E" w:rsidP="00C04F39">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w:t>
            </w:r>
            <w:r w:rsidR="00C04F39">
              <w:rPr>
                <w:rFonts w:ascii="Tahoma" w:hAnsi="Tahoma" w:cs="Tahoma"/>
                <w:sz w:val="22"/>
                <w:szCs w:val="22"/>
              </w:rPr>
              <w:t>e</w:t>
            </w:r>
          </w:p>
          <w:p w14:paraId="29A7805B" w14:textId="08D5A88D" w:rsidR="001F0A0B" w:rsidRPr="00C04F39" w:rsidRDefault="00E27FC8" w:rsidP="00C04F39">
            <w:pPr>
              <w:jc w:val="center"/>
              <w:rPr>
                <w:rFonts w:ascii="Tahoma" w:hAnsi="Tahoma" w:cs="Tahoma"/>
                <w:sz w:val="22"/>
                <w:szCs w:val="22"/>
              </w:rPr>
            </w:pPr>
            <w:r w:rsidRPr="00E27FC8">
              <w:rPr>
                <w:rFonts w:ascii="Tahoma" w:hAnsi="Tahoma" w:cs="Tahoma"/>
                <w:color w:val="000000" w:themeColor="text1"/>
                <w:sz w:val="22"/>
                <w:szCs w:val="22"/>
              </w:rPr>
              <w:t>Mgr. Pavel Kubínek, ředitel</w:t>
            </w:r>
            <w:r>
              <w:rPr>
                <w:rFonts w:ascii="Tahoma" w:hAnsi="Tahoma" w:cs="Tahoma"/>
                <w:color w:val="000000" w:themeColor="text1"/>
                <w:sz w:val="22"/>
                <w:szCs w:val="22"/>
              </w:rPr>
              <w:t xml:space="preserve">                                                                       </w:t>
            </w: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234B552E" w14:textId="0727626A" w:rsidR="00E27FC8" w:rsidRPr="00C04F39" w:rsidRDefault="00041C5B" w:rsidP="00C04F39">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1B714B5D" w:rsidR="00041C5B" w:rsidRPr="00E27FC8" w:rsidRDefault="00A03CBC" w:rsidP="00A03CBC">
            <w:pPr>
              <w:jc w:val="center"/>
              <w:rPr>
                <w:rFonts w:ascii="Tahoma" w:hAnsi="Tahoma" w:cs="Tahoma"/>
                <w:sz w:val="22"/>
                <w:szCs w:val="22"/>
              </w:rPr>
            </w:pPr>
            <w:r w:rsidRPr="00A03CBC">
              <w:rPr>
                <w:rFonts w:ascii="Tahoma" w:hAnsi="Tahoma" w:cs="Tahoma"/>
                <w:color w:val="000000" w:themeColor="text1"/>
                <w:sz w:val="22"/>
                <w:szCs w:val="22"/>
              </w:rPr>
              <w:t>Ing. Martin Pasz</w:t>
            </w:r>
            <w:r>
              <w:rPr>
                <w:rFonts w:ascii="Tahoma" w:hAnsi="Tahoma" w:cs="Tahoma"/>
                <w:color w:val="000000" w:themeColor="text1"/>
                <w:sz w:val="22"/>
                <w:szCs w:val="22"/>
              </w:rPr>
              <w:t>, jednatel</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2"/>
      <w:footerReference w:type="default" r:id="rId13"/>
      <w:footerReference w:type="first" r:id="rId14"/>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F621" w14:textId="77777777" w:rsidR="00255FB5" w:rsidRDefault="00255FB5">
      <w:r>
        <w:separator/>
      </w:r>
    </w:p>
  </w:endnote>
  <w:endnote w:type="continuationSeparator" w:id="0">
    <w:p w14:paraId="2FB207A5" w14:textId="77777777" w:rsidR="00255FB5" w:rsidRDefault="0025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6F5B9065" w14:textId="0B480239" w:rsidR="00242D56" w:rsidRDefault="002B1D3F">
    <w:pPr>
      <w:pBdr>
        <w:top w:val="single" w:sz="6" w:space="0" w:color="auto"/>
      </w:pBdr>
      <w:tabs>
        <w:tab w:val="center" w:pos="4536"/>
        <w:tab w:val="right" w:pos="9072"/>
      </w:tabs>
      <w:ind w:right="360"/>
      <w:rPr>
        <w:rFonts w:ascii="Tahoma" w:hAnsi="Tahoma" w:cs="Tahoma"/>
        <w:sz w:val="18"/>
        <w:szCs w:val="18"/>
      </w:rPr>
    </w:pPr>
    <w:r w:rsidRPr="003C0161">
      <w:rPr>
        <w:rFonts w:ascii="Tahoma" w:hAnsi="Tahoma" w:cs="Tahoma"/>
        <w:sz w:val="18"/>
        <w:szCs w:val="18"/>
      </w:rPr>
      <w:t>TDS</w:t>
    </w:r>
    <w:r w:rsidR="00603867">
      <w:rPr>
        <w:rFonts w:ascii="Tahoma" w:hAnsi="Tahoma" w:cs="Tahoma"/>
        <w:sz w:val="18"/>
        <w:szCs w:val="18"/>
      </w:rPr>
      <w:t xml:space="preserve"> </w:t>
    </w:r>
    <w:r w:rsidR="00147C8E" w:rsidRPr="003C0161">
      <w:rPr>
        <w:rFonts w:ascii="Tahoma" w:hAnsi="Tahoma" w:cs="Tahoma"/>
        <w:sz w:val="18"/>
        <w:szCs w:val="18"/>
      </w:rPr>
      <w:t xml:space="preserve">při realizaci stavby </w:t>
    </w:r>
    <w:r w:rsidR="00147C8E" w:rsidRPr="00E27FC8">
      <w:rPr>
        <w:rFonts w:ascii="Tahoma" w:hAnsi="Tahoma" w:cs="Tahoma"/>
        <w:sz w:val="18"/>
        <w:szCs w:val="18"/>
      </w:rPr>
      <w:t>„</w:t>
    </w:r>
    <w:r w:rsidR="00532A94" w:rsidRPr="00532A94">
      <w:rPr>
        <w:rFonts w:ascii="Tahoma" w:hAnsi="Tahoma" w:cs="Tahoma"/>
        <w:sz w:val="18"/>
        <w:szCs w:val="18"/>
      </w:rPr>
      <w:t xml:space="preserve">Rekonstrukce </w:t>
    </w:r>
    <w:r w:rsidR="00242D56">
      <w:rPr>
        <w:rFonts w:ascii="Tahoma" w:hAnsi="Tahoma" w:cs="Tahoma"/>
        <w:sz w:val="18"/>
        <w:szCs w:val="18"/>
      </w:rPr>
      <w:t xml:space="preserve">obloukové </w:t>
    </w:r>
    <w:r w:rsidR="00532A94" w:rsidRPr="00532A94">
      <w:rPr>
        <w:rFonts w:ascii="Tahoma" w:hAnsi="Tahoma" w:cs="Tahoma"/>
        <w:sz w:val="18"/>
        <w:szCs w:val="18"/>
      </w:rPr>
      <w:t>střechy</w:t>
    </w:r>
    <w:r w:rsidR="00063219">
      <w:rPr>
        <w:rFonts w:ascii="Tahoma" w:hAnsi="Tahoma" w:cs="Tahoma"/>
        <w:sz w:val="18"/>
        <w:szCs w:val="18"/>
      </w:rPr>
      <w:t>“</w:t>
    </w:r>
  </w:p>
  <w:p w14:paraId="720B1C6C" w14:textId="5988C788" w:rsidR="00147C8E" w:rsidRPr="002A74FF" w:rsidRDefault="002A74FF">
    <w:pPr>
      <w:pBdr>
        <w:top w:val="single" w:sz="6" w:space="0" w:color="auto"/>
      </w:pBdr>
      <w:tabs>
        <w:tab w:val="center" w:pos="4536"/>
        <w:tab w:val="right" w:pos="9072"/>
      </w:tabs>
      <w:ind w:right="360"/>
      <w:rPr>
        <w:rFonts w:ascii="Tahoma" w:hAnsi="Tahoma" w:cs="Tahoma"/>
        <w:sz w:val="18"/>
        <w:szCs w:val="18"/>
      </w:rPr>
    </w:pPr>
    <w:r w:rsidRPr="00E27FC8">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AB5" w14:textId="63ADDF5C" w:rsidR="00147C8E" w:rsidRDefault="003E7617"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3F0687A8" w:rsidR="003E7617" w:rsidRPr="003E7617" w:rsidRDefault="003E7617" w:rsidP="003E761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3F0687A8" w:rsidR="003E7617" w:rsidRPr="003E7617" w:rsidRDefault="003E7617" w:rsidP="003E7617">
                    <w:pPr>
                      <w:rPr>
                        <w:rFonts w:ascii="Calibri" w:hAnsi="Calibri" w:cs="Calibri"/>
                        <w:color w:val="000000"/>
                        <w:sz w:val="18"/>
                      </w:rPr>
                    </w:pPr>
                  </w:p>
                </w:txbxContent>
              </v:textbox>
              <w10:wrap anchorx="page" anchory="page"/>
            </v:shape>
          </w:pict>
        </mc:Fallback>
      </mc:AlternateContent>
    </w:r>
    <w:r w:rsidR="00F407D5">
      <w:rPr>
        <w:rFonts w:ascii="Tahoma" w:hAnsi="Tahoma" w:cs="Tahoma"/>
        <w:sz w:val="18"/>
        <w:szCs w:val="18"/>
      </w:rPr>
      <w:t xml:space="preserve">TDS </w:t>
    </w:r>
    <w:r w:rsidR="00147C8E" w:rsidRPr="002820E4">
      <w:rPr>
        <w:rFonts w:ascii="Tahoma" w:hAnsi="Tahoma" w:cs="Tahoma"/>
        <w:sz w:val="18"/>
        <w:szCs w:val="18"/>
      </w:rPr>
      <w:t xml:space="preserve">při realizaci </w:t>
    </w:r>
    <w:r w:rsidR="00147C8E" w:rsidRPr="00553961">
      <w:rPr>
        <w:rFonts w:ascii="Tahoma" w:hAnsi="Tahoma" w:cs="Tahoma"/>
        <w:sz w:val="18"/>
        <w:szCs w:val="18"/>
      </w:rPr>
      <w:t>stavby „</w:t>
    </w:r>
    <w:r w:rsidR="00532A94" w:rsidRPr="00532A94">
      <w:rPr>
        <w:rFonts w:ascii="Tahoma" w:hAnsi="Tahoma" w:cs="Tahoma"/>
        <w:sz w:val="18"/>
        <w:szCs w:val="18"/>
      </w:rPr>
      <w:t xml:space="preserve">Rekonstrukce </w:t>
    </w:r>
    <w:r w:rsidR="00242D56">
      <w:rPr>
        <w:rFonts w:ascii="Tahoma" w:hAnsi="Tahoma" w:cs="Tahoma"/>
        <w:sz w:val="18"/>
        <w:szCs w:val="18"/>
      </w:rPr>
      <w:t xml:space="preserve">obloukové </w:t>
    </w:r>
    <w:r w:rsidR="00532A94" w:rsidRPr="00532A94">
      <w:rPr>
        <w:rFonts w:ascii="Tahoma" w:hAnsi="Tahoma" w:cs="Tahoma"/>
        <w:sz w:val="18"/>
        <w:szCs w:val="18"/>
      </w:rPr>
      <w:t>střechy</w:t>
    </w:r>
    <w:r w:rsidR="00147C8E" w:rsidRPr="00553961">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0DF8" w14:textId="77777777" w:rsidR="00255FB5" w:rsidRDefault="00255FB5">
      <w:r>
        <w:separator/>
      </w:r>
    </w:p>
  </w:footnote>
  <w:footnote w:type="continuationSeparator" w:id="0">
    <w:p w14:paraId="6FFCF8E5" w14:textId="77777777" w:rsidR="00255FB5" w:rsidRDefault="0025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6"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0"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3"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3"/>
  </w:num>
  <w:num w:numId="3">
    <w:abstractNumId w:val="14"/>
  </w:num>
  <w:num w:numId="4">
    <w:abstractNumId w:val="32"/>
  </w:num>
  <w:num w:numId="5">
    <w:abstractNumId w:val="10"/>
  </w:num>
  <w:num w:numId="6">
    <w:abstractNumId w:val="0"/>
  </w:num>
  <w:num w:numId="7">
    <w:abstractNumId w:val="25"/>
  </w:num>
  <w:num w:numId="8">
    <w:abstractNumId w:val="18"/>
  </w:num>
  <w:num w:numId="9">
    <w:abstractNumId w:val="21"/>
  </w:num>
  <w:num w:numId="10">
    <w:abstractNumId w:val="16"/>
  </w:num>
  <w:num w:numId="11">
    <w:abstractNumId w:val="2"/>
  </w:num>
  <w:num w:numId="12">
    <w:abstractNumId w:val="29"/>
  </w:num>
  <w:num w:numId="13">
    <w:abstractNumId w:val="28"/>
  </w:num>
  <w:num w:numId="14">
    <w:abstractNumId w:val="1"/>
  </w:num>
  <w:num w:numId="15">
    <w:abstractNumId w:val="3"/>
  </w:num>
  <w:num w:numId="16">
    <w:abstractNumId w:val="31"/>
  </w:num>
  <w:num w:numId="17">
    <w:abstractNumId w:val="12"/>
  </w:num>
  <w:num w:numId="18">
    <w:abstractNumId w:val="11"/>
  </w:num>
  <w:num w:numId="19">
    <w:abstractNumId w:val="27"/>
  </w:num>
  <w:num w:numId="20">
    <w:abstractNumId w:val="9"/>
  </w:num>
  <w:num w:numId="21">
    <w:abstractNumId w:val="20"/>
  </w:num>
  <w:num w:numId="22">
    <w:abstractNumId w:val="8"/>
  </w:num>
  <w:num w:numId="23">
    <w:abstractNumId w:val="6"/>
  </w:num>
  <w:num w:numId="24">
    <w:abstractNumId w:val="7"/>
  </w:num>
  <w:num w:numId="25">
    <w:abstractNumId w:val="30"/>
  </w:num>
  <w:num w:numId="26">
    <w:abstractNumId w:val="4"/>
  </w:num>
  <w:num w:numId="27">
    <w:abstractNumId w:val="22"/>
  </w:num>
  <w:num w:numId="28">
    <w:abstractNumId w:val="33"/>
  </w:num>
  <w:num w:numId="29">
    <w:abstractNumId w:val="19"/>
  </w:num>
  <w:num w:numId="30">
    <w:abstractNumId w:val="13"/>
  </w:num>
  <w:num w:numId="31">
    <w:abstractNumId w:val="15"/>
  </w:num>
  <w:num w:numId="32">
    <w:abstractNumId w:val="24"/>
  </w:num>
  <w:num w:numId="33">
    <w:abstractNumId w:val="17"/>
  </w:num>
  <w:num w:numId="3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1EA1"/>
    <w:rsid w:val="00042189"/>
    <w:rsid w:val="000446BA"/>
    <w:rsid w:val="000453D3"/>
    <w:rsid w:val="000455D4"/>
    <w:rsid w:val="000501AE"/>
    <w:rsid w:val="000543AF"/>
    <w:rsid w:val="0005690C"/>
    <w:rsid w:val="00063219"/>
    <w:rsid w:val="000648E4"/>
    <w:rsid w:val="000720FA"/>
    <w:rsid w:val="00074DA5"/>
    <w:rsid w:val="00077B61"/>
    <w:rsid w:val="00080E0D"/>
    <w:rsid w:val="00083886"/>
    <w:rsid w:val="00083FB1"/>
    <w:rsid w:val="0009060E"/>
    <w:rsid w:val="00090BC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D44B7"/>
    <w:rsid w:val="000E0B55"/>
    <w:rsid w:val="000E1BB2"/>
    <w:rsid w:val="000E5731"/>
    <w:rsid w:val="000E60B2"/>
    <w:rsid w:val="000F2085"/>
    <w:rsid w:val="000F7D16"/>
    <w:rsid w:val="00102E58"/>
    <w:rsid w:val="00103564"/>
    <w:rsid w:val="001060DE"/>
    <w:rsid w:val="00106748"/>
    <w:rsid w:val="00106DFA"/>
    <w:rsid w:val="001234F7"/>
    <w:rsid w:val="00127720"/>
    <w:rsid w:val="001308BF"/>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3A9E"/>
    <w:rsid w:val="001A4ABA"/>
    <w:rsid w:val="001A5EBB"/>
    <w:rsid w:val="001A6F86"/>
    <w:rsid w:val="001B176B"/>
    <w:rsid w:val="001B6625"/>
    <w:rsid w:val="001C22AF"/>
    <w:rsid w:val="001C380E"/>
    <w:rsid w:val="001C3CA9"/>
    <w:rsid w:val="001C4E9E"/>
    <w:rsid w:val="001C7B2F"/>
    <w:rsid w:val="001D3026"/>
    <w:rsid w:val="001D3AB8"/>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2D56"/>
    <w:rsid w:val="00244626"/>
    <w:rsid w:val="00255FB5"/>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37C"/>
    <w:rsid w:val="002979FB"/>
    <w:rsid w:val="002A1253"/>
    <w:rsid w:val="002A1FF8"/>
    <w:rsid w:val="002A3927"/>
    <w:rsid w:val="002A3BAF"/>
    <w:rsid w:val="002A74FF"/>
    <w:rsid w:val="002A791D"/>
    <w:rsid w:val="002A7F87"/>
    <w:rsid w:val="002B0784"/>
    <w:rsid w:val="002B13B7"/>
    <w:rsid w:val="002B1D3F"/>
    <w:rsid w:val="002C60EF"/>
    <w:rsid w:val="002C62CC"/>
    <w:rsid w:val="002D05BD"/>
    <w:rsid w:val="002D257B"/>
    <w:rsid w:val="002E256A"/>
    <w:rsid w:val="002E4102"/>
    <w:rsid w:val="002E5A07"/>
    <w:rsid w:val="002F2314"/>
    <w:rsid w:val="002F2AC3"/>
    <w:rsid w:val="002F507D"/>
    <w:rsid w:val="002F757B"/>
    <w:rsid w:val="003025F4"/>
    <w:rsid w:val="00303B97"/>
    <w:rsid w:val="003055D2"/>
    <w:rsid w:val="0031675B"/>
    <w:rsid w:val="00317F11"/>
    <w:rsid w:val="00321ACC"/>
    <w:rsid w:val="0032413E"/>
    <w:rsid w:val="0032476A"/>
    <w:rsid w:val="00324C59"/>
    <w:rsid w:val="00325B49"/>
    <w:rsid w:val="00327774"/>
    <w:rsid w:val="00330CE8"/>
    <w:rsid w:val="00331A19"/>
    <w:rsid w:val="00335C28"/>
    <w:rsid w:val="0034008C"/>
    <w:rsid w:val="0034074F"/>
    <w:rsid w:val="003468FB"/>
    <w:rsid w:val="003500A0"/>
    <w:rsid w:val="003502DF"/>
    <w:rsid w:val="00350F6C"/>
    <w:rsid w:val="00353B44"/>
    <w:rsid w:val="00354A4F"/>
    <w:rsid w:val="00355CA1"/>
    <w:rsid w:val="003572F4"/>
    <w:rsid w:val="0036202A"/>
    <w:rsid w:val="00362725"/>
    <w:rsid w:val="003653BA"/>
    <w:rsid w:val="00365F17"/>
    <w:rsid w:val="00367968"/>
    <w:rsid w:val="00373FA4"/>
    <w:rsid w:val="00375253"/>
    <w:rsid w:val="003816C4"/>
    <w:rsid w:val="00382003"/>
    <w:rsid w:val="00384C0F"/>
    <w:rsid w:val="003871D4"/>
    <w:rsid w:val="00387D01"/>
    <w:rsid w:val="003907DE"/>
    <w:rsid w:val="00391462"/>
    <w:rsid w:val="00392E35"/>
    <w:rsid w:val="003952B5"/>
    <w:rsid w:val="003963F0"/>
    <w:rsid w:val="003A15C4"/>
    <w:rsid w:val="003A201F"/>
    <w:rsid w:val="003A2E57"/>
    <w:rsid w:val="003A4E39"/>
    <w:rsid w:val="003A522E"/>
    <w:rsid w:val="003A6060"/>
    <w:rsid w:val="003B08D2"/>
    <w:rsid w:val="003B148F"/>
    <w:rsid w:val="003B3097"/>
    <w:rsid w:val="003B3643"/>
    <w:rsid w:val="003B444D"/>
    <w:rsid w:val="003B577F"/>
    <w:rsid w:val="003B6487"/>
    <w:rsid w:val="003B6F0B"/>
    <w:rsid w:val="003C0161"/>
    <w:rsid w:val="003C2D55"/>
    <w:rsid w:val="003C5E8D"/>
    <w:rsid w:val="003C6F00"/>
    <w:rsid w:val="003D1283"/>
    <w:rsid w:val="003D1354"/>
    <w:rsid w:val="003D77CF"/>
    <w:rsid w:val="003E144B"/>
    <w:rsid w:val="003E18FF"/>
    <w:rsid w:val="003E1ED5"/>
    <w:rsid w:val="003E64DA"/>
    <w:rsid w:val="003E69D7"/>
    <w:rsid w:val="003E6AE0"/>
    <w:rsid w:val="003E7617"/>
    <w:rsid w:val="003F266E"/>
    <w:rsid w:val="00415035"/>
    <w:rsid w:val="00420C61"/>
    <w:rsid w:val="00421696"/>
    <w:rsid w:val="0042424D"/>
    <w:rsid w:val="00425756"/>
    <w:rsid w:val="0042588A"/>
    <w:rsid w:val="00426075"/>
    <w:rsid w:val="004334E3"/>
    <w:rsid w:val="0043581B"/>
    <w:rsid w:val="0043775C"/>
    <w:rsid w:val="00450F5B"/>
    <w:rsid w:val="004548DF"/>
    <w:rsid w:val="00455017"/>
    <w:rsid w:val="00457AE4"/>
    <w:rsid w:val="00462065"/>
    <w:rsid w:val="00462F85"/>
    <w:rsid w:val="00463D48"/>
    <w:rsid w:val="004645CD"/>
    <w:rsid w:val="00467CCE"/>
    <w:rsid w:val="00467FAA"/>
    <w:rsid w:val="00470263"/>
    <w:rsid w:val="004705FD"/>
    <w:rsid w:val="00474027"/>
    <w:rsid w:val="004744DB"/>
    <w:rsid w:val="00474B2B"/>
    <w:rsid w:val="0047737A"/>
    <w:rsid w:val="00484AEE"/>
    <w:rsid w:val="00484DF1"/>
    <w:rsid w:val="00493D6D"/>
    <w:rsid w:val="004940D8"/>
    <w:rsid w:val="00496522"/>
    <w:rsid w:val="0049705D"/>
    <w:rsid w:val="004A07D7"/>
    <w:rsid w:val="004A3135"/>
    <w:rsid w:val="004A6134"/>
    <w:rsid w:val="004B342A"/>
    <w:rsid w:val="004B4B29"/>
    <w:rsid w:val="004C032C"/>
    <w:rsid w:val="004C4A1F"/>
    <w:rsid w:val="004D0E7D"/>
    <w:rsid w:val="004D2248"/>
    <w:rsid w:val="004D70D8"/>
    <w:rsid w:val="004E0E96"/>
    <w:rsid w:val="004E26B2"/>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A94"/>
    <w:rsid w:val="00532C7A"/>
    <w:rsid w:val="0053403C"/>
    <w:rsid w:val="00540958"/>
    <w:rsid w:val="00541C55"/>
    <w:rsid w:val="00543261"/>
    <w:rsid w:val="00543E2E"/>
    <w:rsid w:val="005478CF"/>
    <w:rsid w:val="00553961"/>
    <w:rsid w:val="00553A59"/>
    <w:rsid w:val="0055589E"/>
    <w:rsid w:val="00563372"/>
    <w:rsid w:val="005667BB"/>
    <w:rsid w:val="005669FE"/>
    <w:rsid w:val="00571F7E"/>
    <w:rsid w:val="005722C3"/>
    <w:rsid w:val="0057338F"/>
    <w:rsid w:val="0057457E"/>
    <w:rsid w:val="00576B10"/>
    <w:rsid w:val="005801A3"/>
    <w:rsid w:val="005818A2"/>
    <w:rsid w:val="005818AC"/>
    <w:rsid w:val="00582588"/>
    <w:rsid w:val="00582F3A"/>
    <w:rsid w:val="00584850"/>
    <w:rsid w:val="00591175"/>
    <w:rsid w:val="005921DC"/>
    <w:rsid w:val="00592F9C"/>
    <w:rsid w:val="00596DFD"/>
    <w:rsid w:val="005A731E"/>
    <w:rsid w:val="005B737C"/>
    <w:rsid w:val="005C32AB"/>
    <w:rsid w:val="005C4933"/>
    <w:rsid w:val="005C49B4"/>
    <w:rsid w:val="005C7B87"/>
    <w:rsid w:val="005D0360"/>
    <w:rsid w:val="005D135B"/>
    <w:rsid w:val="005D6F8F"/>
    <w:rsid w:val="005E12BF"/>
    <w:rsid w:val="005E4155"/>
    <w:rsid w:val="005E6C1C"/>
    <w:rsid w:val="005F2CE3"/>
    <w:rsid w:val="005F78D2"/>
    <w:rsid w:val="006033FA"/>
    <w:rsid w:val="00603867"/>
    <w:rsid w:val="0060578E"/>
    <w:rsid w:val="006128F7"/>
    <w:rsid w:val="00614E9E"/>
    <w:rsid w:val="00617622"/>
    <w:rsid w:val="00620F55"/>
    <w:rsid w:val="00622C3A"/>
    <w:rsid w:val="006246C3"/>
    <w:rsid w:val="00625524"/>
    <w:rsid w:val="00627703"/>
    <w:rsid w:val="00632186"/>
    <w:rsid w:val="006333D3"/>
    <w:rsid w:val="006340BF"/>
    <w:rsid w:val="0064132E"/>
    <w:rsid w:val="00641C2E"/>
    <w:rsid w:val="00644B4F"/>
    <w:rsid w:val="00647A4C"/>
    <w:rsid w:val="006517DB"/>
    <w:rsid w:val="006534BE"/>
    <w:rsid w:val="006555A8"/>
    <w:rsid w:val="006641D2"/>
    <w:rsid w:val="00666BA2"/>
    <w:rsid w:val="00667291"/>
    <w:rsid w:val="006734C4"/>
    <w:rsid w:val="00675BD0"/>
    <w:rsid w:val="00676D26"/>
    <w:rsid w:val="00676FE7"/>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0CFD"/>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292F"/>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3BD0"/>
    <w:rsid w:val="00774342"/>
    <w:rsid w:val="00774B9A"/>
    <w:rsid w:val="00777768"/>
    <w:rsid w:val="00790F86"/>
    <w:rsid w:val="00794081"/>
    <w:rsid w:val="00796E03"/>
    <w:rsid w:val="007A1E70"/>
    <w:rsid w:val="007A262F"/>
    <w:rsid w:val="007A6806"/>
    <w:rsid w:val="007B39E2"/>
    <w:rsid w:val="007B5E4E"/>
    <w:rsid w:val="007C0BB1"/>
    <w:rsid w:val="007C1543"/>
    <w:rsid w:val="007C4226"/>
    <w:rsid w:val="007C5B4D"/>
    <w:rsid w:val="007C5DF9"/>
    <w:rsid w:val="007D357B"/>
    <w:rsid w:val="007D3C1F"/>
    <w:rsid w:val="007D3CF0"/>
    <w:rsid w:val="007D3D16"/>
    <w:rsid w:val="007D7133"/>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59B"/>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12F4"/>
    <w:rsid w:val="008A21C1"/>
    <w:rsid w:val="008A4808"/>
    <w:rsid w:val="008A7E33"/>
    <w:rsid w:val="008A7F82"/>
    <w:rsid w:val="008B3537"/>
    <w:rsid w:val="008B4A26"/>
    <w:rsid w:val="008B4FEC"/>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68BC"/>
    <w:rsid w:val="008F7B64"/>
    <w:rsid w:val="009013DE"/>
    <w:rsid w:val="0090176A"/>
    <w:rsid w:val="00902A90"/>
    <w:rsid w:val="00903A9F"/>
    <w:rsid w:val="00903EE3"/>
    <w:rsid w:val="00904A09"/>
    <w:rsid w:val="00912C69"/>
    <w:rsid w:val="00915B91"/>
    <w:rsid w:val="00920A08"/>
    <w:rsid w:val="009224B5"/>
    <w:rsid w:val="00922D48"/>
    <w:rsid w:val="009231FB"/>
    <w:rsid w:val="0092547D"/>
    <w:rsid w:val="00931729"/>
    <w:rsid w:val="00931A28"/>
    <w:rsid w:val="0093447C"/>
    <w:rsid w:val="00934C56"/>
    <w:rsid w:val="00936D4F"/>
    <w:rsid w:val="0094063A"/>
    <w:rsid w:val="00940F2C"/>
    <w:rsid w:val="00943CDA"/>
    <w:rsid w:val="00943F6D"/>
    <w:rsid w:val="0094560C"/>
    <w:rsid w:val="00952082"/>
    <w:rsid w:val="00952538"/>
    <w:rsid w:val="009547CA"/>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1F84"/>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3CBC"/>
    <w:rsid w:val="00A04F77"/>
    <w:rsid w:val="00A16520"/>
    <w:rsid w:val="00A24290"/>
    <w:rsid w:val="00A26BC1"/>
    <w:rsid w:val="00A31A31"/>
    <w:rsid w:val="00A31C52"/>
    <w:rsid w:val="00A31D53"/>
    <w:rsid w:val="00A33EF5"/>
    <w:rsid w:val="00A34890"/>
    <w:rsid w:val="00A4270A"/>
    <w:rsid w:val="00A427BF"/>
    <w:rsid w:val="00A464EE"/>
    <w:rsid w:val="00A47FBC"/>
    <w:rsid w:val="00A51EE6"/>
    <w:rsid w:val="00A524EA"/>
    <w:rsid w:val="00A556E7"/>
    <w:rsid w:val="00A61F5A"/>
    <w:rsid w:val="00A62CE1"/>
    <w:rsid w:val="00A638A1"/>
    <w:rsid w:val="00A777AD"/>
    <w:rsid w:val="00A852C4"/>
    <w:rsid w:val="00A862C9"/>
    <w:rsid w:val="00A863A4"/>
    <w:rsid w:val="00A93E24"/>
    <w:rsid w:val="00A94065"/>
    <w:rsid w:val="00A94C3E"/>
    <w:rsid w:val="00A955E8"/>
    <w:rsid w:val="00A96C52"/>
    <w:rsid w:val="00A97B9B"/>
    <w:rsid w:val="00AA4E17"/>
    <w:rsid w:val="00AA6B2B"/>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44F2"/>
    <w:rsid w:val="00BD535C"/>
    <w:rsid w:val="00BD7C51"/>
    <w:rsid w:val="00BE0F71"/>
    <w:rsid w:val="00BE1424"/>
    <w:rsid w:val="00BE371D"/>
    <w:rsid w:val="00BF0799"/>
    <w:rsid w:val="00BF1DE0"/>
    <w:rsid w:val="00BF26F3"/>
    <w:rsid w:val="00BF3208"/>
    <w:rsid w:val="00BF6F45"/>
    <w:rsid w:val="00C00AFB"/>
    <w:rsid w:val="00C04F39"/>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47A0C"/>
    <w:rsid w:val="00C528E7"/>
    <w:rsid w:val="00C556CD"/>
    <w:rsid w:val="00C55E58"/>
    <w:rsid w:val="00C56D15"/>
    <w:rsid w:val="00C57054"/>
    <w:rsid w:val="00C57447"/>
    <w:rsid w:val="00C60EE9"/>
    <w:rsid w:val="00C66316"/>
    <w:rsid w:val="00C7205E"/>
    <w:rsid w:val="00C723DA"/>
    <w:rsid w:val="00C772FF"/>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7F0A"/>
    <w:rsid w:val="00CC1154"/>
    <w:rsid w:val="00CC1586"/>
    <w:rsid w:val="00CC4899"/>
    <w:rsid w:val="00CD2BDB"/>
    <w:rsid w:val="00CE03D2"/>
    <w:rsid w:val="00CE4372"/>
    <w:rsid w:val="00CE467A"/>
    <w:rsid w:val="00CE4C7F"/>
    <w:rsid w:val="00CF14E6"/>
    <w:rsid w:val="00CF2120"/>
    <w:rsid w:val="00CF31BB"/>
    <w:rsid w:val="00CF3865"/>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6D1E"/>
    <w:rsid w:val="00E077B5"/>
    <w:rsid w:val="00E13DB1"/>
    <w:rsid w:val="00E1616F"/>
    <w:rsid w:val="00E17A21"/>
    <w:rsid w:val="00E277AD"/>
    <w:rsid w:val="00E27FC8"/>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07E"/>
    <w:rsid w:val="00E67D3B"/>
    <w:rsid w:val="00E74E62"/>
    <w:rsid w:val="00E80070"/>
    <w:rsid w:val="00E82DF4"/>
    <w:rsid w:val="00E84DAE"/>
    <w:rsid w:val="00E85CC5"/>
    <w:rsid w:val="00E90CD8"/>
    <w:rsid w:val="00E95277"/>
    <w:rsid w:val="00E95C4E"/>
    <w:rsid w:val="00EA017A"/>
    <w:rsid w:val="00EA049C"/>
    <w:rsid w:val="00EA0C9A"/>
    <w:rsid w:val="00EA2086"/>
    <w:rsid w:val="00EA2AC7"/>
    <w:rsid w:val="00EA653A"/>
    <w:rsid w:val="00EA79E4"/>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6CA0"/>
    <w:rsid w:val="00F37B12"/>
    <w:rsid w:val="00F407D5"/>
    <w:rsid w:val="00F40F7C"/>
    <w:rsid w:val="00F41863"/>
    <w:rsid w:val="00F441B4"/>
    <w:rsid w:val="00F46F9C"/>
    <w:rsid w:val="00F47D81"/>
    <w:rsid w:val="00F47FE8"/>
    <w:rsid w:val="00F510B6"/>
    <w:rsid w:val="00F52BFC"/>
    <w:rsid w:val="00F53C43"/>
    <w:rsid w:val="00F57118"/>
    <w:rsid w:val="00F6771F"/>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336F"/>
    <w:rsid w:val="00FD45F7"/>
    <w:rsid w:val="00FD46BD"/>
    <w:rsid w:val="00FD6583"/>
    <w:rsid w:val="00FE3EDC"/>
    <w:rsid w:val="00FE6923"/>
    <w:rsid w:val="00FE6B1C"/>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character" w:styleId="Nevyeenzmnka">
    <w:name w:val="Unresolved Mention"/>
    <w:basedOn w:val="Standardnpsmoodstavce"/>
    <w:uiPriority w:val="99"/>
    <w:semiHidden/>
    <w:unhideWhenUsed/>
    <w:rsid w:val="00A9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a-orlo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AA778930-3BB1-4FEA-B431-B2E35BC3D0ED}">
  <ds:schemaRefs>
    <ds:schemaRef ds:uri="http://purl.org/dc/dcmitype/"/>
    <ds:schemaRef ds:uri="http://www.w3.org/XML/1998/namespace"/>
    <ds:schemaRef ds:uri="http://purl.org/dc/terms/"/>
    <ds:schemaRef ds:uri="ccba48c0-8987-41b7-bbd5-778b5690a62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4bb808a-9cb8-49f3-97bd-06f68a3035b2"/>
    <ds:schemaRef ds:uri="http://schemas.microsoft.com/office/2006/metadata/properties"/>
  </ds:schemaRefs>
</ds:datastoreItem>
</file>

<file path=customXml/itemProps3.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2E5AD-C665-4888-8E3B-65184815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4302</Words>
  <Characters>25274</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Krzystková Drahomíra</cp:lastModifiedBy>
  <cp:revision>9</cp:revision>
  <cp:lastPrinted>2025-05-13T11:45:00Z</cp:lastPrinted>
  <dcterms:created xsi:type="dcterms:W3CDTF">2025-04-29T10:01:00Z</dcterms:created>
  <dcterms:modified xsi:type="dcterms:W3CDTF">2025-05-27T10:56:00Z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