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Zhlavdohody"/>
        <w:tabs>
          <w:tab w:val="left" w:pos="3301"/>
          <w:tab w:val="center" w:pos="4536"/>
        </w:tabs>
        <w:spacing w:before="0" w:after="120"/>
      </w:pPr>
      <w:r>
        <w:t>S M L O U V A</w:t>
      </w:r>
    </w:p>
    <w:p>
      <w:pPr>
        <w:pStyle w:val="Nzevdohody"/>
      </w:pPr>
      <w:r>
        <w:t>o organizování veřejné služby</w:t>
      </w:r>
    </w:p>
    <w:p>
      <w:pPr>
        <w:pStyle w:val="Nzevdohody"/>
        <w:rPr>
          <w:sz w:val="22"/>
          <w:szCs w:val="22"/>
        </w:rPr>
      </w:pPr>
      <w:r>
        <w:t>č. MOL-VS-8/2017</w:t>
      </w: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r>
        <w:rPr>
          <w:rFonts w:ascii="Arial" w:eastAsia="Times New Roman" w:hAnsi="Arial" w:cs="Arial"/>
          <w:lang w:eastAsia="cs-CZ"/>
        </w:rPr>
        <w:t>uzavřená mezi</w:t>
      </w: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t>Ing. Bořivoj Novotný, ředitel Odboru zaměstnanosti krajské</w:t>
      </w:r>
    </w:p>
    <w:p>
      <w:pPr>
        <w:spacing w:after="0" w:line="240" w:lineRule="auto"/>
        <w:jc w:val="both"/>
        <w:rPr>
          <w:rFonts w:ascii="Arial" w:eastAsia="Times New Roman" w:hAnsi="Arial" w:cs="Arial"/>
          <w:lang w:eastAsia="cs-CZ"/>
        </w:rPr>
      </w:pPr>
      <w:r>
        <w:rPr>
          <w:rFonts w:ascii="Arial" w:eastAsia="Times New Roman" w:hAnsi="Arial" w:cs="Arial"/>
          <w:lang w:eastAsia="cs-CZ"/>
        </w:rPr>
        <w:t xml:space="preserve">                                              pobočky v Olomouci</w:t>
      </w:r>
    </w:p>
    <w:p>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t>Vejdovského č.p. 988/4, 779 00 Olomouc 9</w:t>
      </w:r>
    </w:p>
    <w:p>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a2azprx</w:t>
      </w:r>
    </w:p>
    <w:p>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pPr>
        <w:spacing w:before="40" w:after="120" w:line="240" w:lineRule="auto"/>
        <w:jc w:val="both"/>
        <w:rPr>
          <w:rFonts w:ascii="Arial" w:eastAsia="Times New Roman" w:hAnsi="Arial" w:cs="Arial"/>
          <w:lang w:eastAsia="cs-CZ"/>
        </w:rPr>
      </w:pPr>
    </w:p>
    <w:p>
      <w:pPr>
        <w:spacing w:after="120" w:line="240" w:lineRule="auto"/>
        <w:jc w:val="both"/>
        <w:rPr>
          <w:rFonts w:ascii="Arial" w:eastAsia="Times New Roman" w:hAnsi="Arial" w:cs="Arial"/>
          <w:lang w:eastAsia="cs-CZ"/>
        </w:rPr>
      </w:pPr>
      <w:r>
        <w:rPr>
          <w:rFonts w:ascii="Arial" w:eastAsia="Times New Roman" w:hAnsi="Arial" w:cs="Arial"/>
          <w:lang w:eastAsia="cs-CZ"/>
        </w:rPr>
        <w:t>a</w:t>
      </w:r>
    </w:p>
    <w:p>
      <w:pPr>
        <w:spacing w:after="0" w:line="240" w:lineRule="auto"/>
        <w:jc w:val="both"/>
        <w:rPr>
          <w:rFonts w:ascii="Arial" w:eastAsia="Times New Roman" w:hAnsi="Arial" w:cs="Arial"/>
          <w:b/>
          <w:lang w:eastAsia="cs-CZ"/>
        </w:rPr>
      </w:pPr>
      <w:r>
        <w:rPr>
          <w:rFonts w:ascii="Arial" w:eastAsia="Times New Roman" w:hAnsi="Arial" w:cs="Arial"/>
          <w:b/>
          <w:lang w:eastAsia="cs-CZ"/>
        </w:rPr>
        <w:t>Obcí Komárov</w:t>
      </w:r>
    </w:p>
    <w:p>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t>Danuše Lhotáková, starostka obce</w:t>
      </w:r>
    </w:p>
    <w:p>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Komárov 241, 785 01 Šternberk</w:t>
      </w:r>
    </w:p>
    <w:p>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48770566</w:t>
      </w:r>
    </w:p>
    <w:p>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qsaax9f</w:t>
      </w:r>
    </w:p>
    <w:p>
      <w:pPr>
        <w:spacing w:before="40" w:after="0" w:line="240" w:lineRule="auto"/>
        <w:jc w:val="both"/>
        <w:rPr>
          <w:rFonts w:ascii="Arial" w:eastAsia="Times New Roman" w:hAnsi="Arial" w:cs="Arial"/>
          <w:lang w:eastAsia="cs-CZ"/>
        </w:rPr>
      </w:pPr>
    </w:p>
    <w:p>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jc w:val="center"/>
        <w:rPr>
          <w:rFonts w:ascii="Arial" w:hAnsi="Arial" w:cs="Arial"/>
          <w:b/>
          <w:bCs/>
        </w:rPr>
      </w:pPr>
      <w:r>
        <w:rPr>
          <w:rFonts w:ascii="Arial" w:hAnsi="Arial" w:cs="Arial"/>
          <w:b/>
          <w:bCs/>
        </w:rPr>
        <w:t>Článek I</w:t>
      </w:r>
    </w:p>
    <w:p>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pPr>
        <w:rPr>
          <w:rFonts w:ascii="Arial" w:hAnsi="Arial" w:cs="Arial"/>
        </w:rPr>
      </w:pPr>
      <w:r>
        <w:rPr>
          <w:rFonts w:ascii="Arial" w:hAnsi="Arial" w:cs="Arial"/>
        </w:rPr>
        <w:br w:type="page"/>
      </w:r>
    </w:p>
    <w:p>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vytvořit níže uvedené pozice pro výkon veřejné služby na dobu od doby účinnosti této smlouvy, nejdříve však od 24.7.2017 do 31.12.2017:</w:t>
      </w:r>
    </w:p>
    <w:p>
      <w:pPr>
        <w:pStyle w:val="Odstavecseseznamem"/>
        <w:autoSpaceDE w:val="0"/>
        <w:autoSpaceDN w:val="0"/>
        <w:adjustRightInd w:val="0"/>
        <w:spacing w:after="0" w:line="240" w:lineRule="auto"/>
        <w:ind w:left="357"/>
        <w:jc w:val="both"/>
        <w:rPr>
          <w:rFonts w:ascii="Arial" w:hAnsi="Arial" w:cs="Arial"/>
        </w:rPr>
      </w:pPr>
    </w:p>
    <w:p>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trPr>
          <w:cantSplit/>
          <w:tblHeader/>
        </w:trPr>
        <w:tc>
          <w:tcPr>
            <w:tcW w:w="6728" w:type="dxa"/>
            <w:tcBorders>
              <w:left w:val="single" w:sz="4" w:space="0" w:color="auto"/>
              <w:right w:val="single" w:sz="4" w:space="0" w:color="auto"/>
            </w:tcBorders>
            <w:shd w:val="clear" w:color="auto" w:fill="E6E6E6"/>
            <w:vAlign w:val="center"/>
          </w:tcPr>
          <w:p>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pPr>
              <w:keepNext/>
              <w:spacing w:before="20" w:after="20"/>
              <w:rPr>
                <w:rFonts w:ascii="Arial" w:hAnsi="Arial" w:cs="Arial"/>
              </w:rPr>
            </w:pPr>
            <w:r>
              <w:rPr>
                <w:rFonts w:ascii="Arial" w:hAnsi="Arial" w:cs="Arial"/>
              </w:rPr>
              <w:t>Maximální počet pozic pro výkon veřejné služby*</w:t>
            </w:r>
          </w:p>
        </w:tc>
      </w:tr>
      <w:tr>
        <w:trPr>
          <w:cantSplit/>
        </w:trPr>
        <w:tc>
          <w:tcPr>
            <w:tcW w:w="6728" w:type="dxa"/>
            <w:tcBorders>
              <w:left w:val="single" w:sz="4" w:space="0" w:color="auto"/>
              <w:right w:val="single" w:sz="4" w:space="0" w:color="auto"/>
            </w:tcBorders>
            <w:vAlign w:val="center"/>
          </w:tcPr>
          <w:p>
            <w:pPr>
              <w:pStyle w:val="Odstavecseseznamem"/>
              <w:numPr>
                <w:ilvl w:val="0"/>
                <w:numId w:val="20"/>
              </w:numPr>
              <w:spacing w:before="20" w:after="20"/>
              <w:rPr>
                <w:rFonts w:ascii="Arial" w:hAnsi="Arial" w:cs="Arial"/>
                <w:sz w:val="16"/>
                <w:szCs w:val="16"/>
              </w:rPr>
            </w:pPr>
            <w:r>
              <w:rPr>
                <w:rFonts w:ascii="Arial" w:hAnsi="Arial" w:cs="Arial"/>
                <w:sz w:val="16"/>
                <w:szCs w:val="16"/>
              </w:rPr>
              <w:t>činnost při zajištění udržování čistoty ulic a jiných veřejných prostranství</w:t>
            </w:r>
          </w:p>
        </w:tc>
        <w:tc>
          <w:tcPr>
            <w:tcW w:w="1843" w:type="dxa"/>
            <w:tcBorders>
              <w:left w:val="single" w:sz="4" w:space="0" w:color="auto"/>
              <w:right w:val="single" w:sz="4" w:space="0" w:color="auto"/>
            </w:tcBorders>
            <w:vAlign w:val="center"/>
          </w:tcPr>
          <w:p>
            <w:pPr>
              <w:spacing w:before="20" w:after="20"/>
              <w:jc w:val="center"/>
              <w:rPr>
                <w:rFonts w:ascii="Arial" w:hAnsi="Arial" w:cs="Arial"/>
              </w:rPr>
            </w:pPr>
            <w:r>
              <w:rPr>
                <w:rFonts w:ascii="Arial" w:hAnsi="Arial" w:cs="Arial"/>
              </w:rPr>
              <w:t>2</w:t>
            </w:r>
          </w:p>
        </w:tc>
      </w:tr>
      <w:tr>
        <w:trPr>
          <w:cantSplit/>
        </w:trPr>
        <w:tc>
          <w:tcPr>
            <w:tcW w:w="6728" w:type="dxa"/>
            <w:tcBorders>
              <w:left w:val="single" w:sz="4" w:space="0" w:color="auto"/>
              <w:right w:val="single" w:sz="4" w:space="0" w:color="auto"/>
            </w:tcBorders>
            <w:vAlign w:val="center"/>
          </w:tcPr>
          <w:p>
            <w:pPr>
              <w:spacing w:before="20" w:after="20"/>
              <w:rPr>
                <w:rFonts w:ascii="Arial" w:hAnsi="Arial" w:cs="Arial"/>
                <w:sz w:val="16"/>
                <w:szCs w:val="16"/>
              </w:rPr>
            </w:pPr>
          </w:p>
        </w:tc>
        <w:tc>
          <w:tcPr>
            <w:tcW w:w="1843" w:type="dxa"/>
            <w:tcBorders>
              <w:left w:val="single" w:sz="4" w:space="0" w:color="auto"/>
              <w:right w:val="single" w:sz="4" w:space="0" w:color="auto"/>
            </w:tcBorders>
            <w:vAlign w:val="center"/>
          </w:tcPr>
          <w:p>
            <w:pPr>
              <w:spacing w:before="20" w:after="20"/>
              <w:jc w:val="center"/>
              <w:rPr>
                <w:rFonts w:ascii="Arial" w:hAnsi="Arial" w:cs="Arial"/>
              </w:rPr>
            </w:pPr>
          </w:p>
        </w:tc>
      </w:tr>
      <w:tr>
        <w:trPr>
          <w:cantSplit/>
        </w:trPr>
        <w:tc>
          <w:tcPr>
            <w:tcW w:w="6728" w:type="dxa"/>
            <w:tcBorders>
              <w:left w:val="single" w:sz="4" w:space="0" w:color="auto"/>
              <w:right w:val="single" w:sz="4" w:space="0" w:color="auto"/>
            </w:tcBorders>
            <w:vAlign w:val="center"/>
          </w:tcPr>
          <w:p>
            <w:pPr>
              <w:spacing w:before="20" w:after="20"/>
              <w:rPr>
                <w:rFonts w:ascii="Arial" w:hAnsi="Arial" w:cs="Arial"/>
              </w:rPr>
            </w:pPr>
          </w:p>
        </w:tc>
        <w:tc>
          <w:tcPr>
            <w:tcW w:w="1843" w:type="dxa"/>
            <w:tcBorders>
              <w:left w:val="single" w:sz="4" w:space="0" w:color="auto"/>
              <w:right w:val="single" w:sz="4" w:space="0" w:color="auto"/>
            </w:tcBorders>
            <w:vAlign w:val="center"/>
          </w:tcPr>
          <w:p>
            <w:pPr>
              <w:spacing w:before="20" w:after="20"/>
              <w:jc w:val="right"/>
              <w:rPr>
                <w:rFonts w:ascii="Arial" w:hAnsi="Arial" w:cs="Arial"/>
              </w:rPr>
            </w:pPr>
          </w:p>
        </w:tc>
      </w:tr>
    </w:tbl>
    <w:p>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pPr>
        <w:autoSpaceDE w:val="0"/>
        <w:autoSpaceDN w:val="0"/>
        <w:adjustRightInd w:val="0"/>
        <w:spacing w:after="0" w:line="240" w:lineRule="auto"/>
        <w:jc w:val="both"/>
        <w:rPr>
          <w:rFonts w:ascii="Arial" w:hAnsi="Arial" w:cs="Arial"/>
          <w:b/>
          <w:bCs/>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pPr>
        <w:autoSpaceDE w:val="0"/>
        <w:autoSpaceDN w:val="0"/>
        <w:adjustRightInd w:val="0"/>
        <w:spacing w:after="0" w:line="240" w:lineRule="auto"/>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proškolení bezpečnosti a ochrany zdraví při výkonu veřejné služby a požární ochrany pro vykonavatele VS.</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w:t>
      </w:r>
      <w:r>
        <w:rPr>
          <w:rFonts w:ascii="Arial" w:hAnsi="Arial" w:cs="Arial"/>
        </w:rPr>
        <w:lastRenderedPageBreak/>
        <w:t>přestal docházet v dohodnuté termíny a den, kdy byla veřejná služba vykonavatelem naposledy vykonávána.</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pPr>
        <w:pStyle w:val="Odstavecseseznamem"/>
        <w:autoSpaceDE w:val="0"/>
        <w:autoSpaceDN w:val="0"/>
        <w:adjustRightInd w:val="0"/>
        <w:spacing w:after="0" w:line="240" w:lineRule="auto"/>
        <w:ind w:left="357"/>
        <w:jc w:val="both"/>
        <w:rPr>
          <w:rFonts w:ascii="Arial" w:hAnsi="Arial" w:cs="Arial"/>
        </w:rPr>
      </w:pPr>
    </w:p>
    <w:p>
      <w:pPr>
        <w:pStyle w:val="Odstavecseseznamem"/>
        <w:autoSpaceDE w:val="0"/>
        <w:autoSpaceDN w:val="0"/>
        <w:adjustRightInd w:val="0"/>
        <w:spacing w:after="0" w:line="240" w:lineRule="auto"/>
        <w:ind w:left="357"/>
        <w:jc w:val="both"/>
        <w:rPr>
          <w:rFonts w:ascii="Arial" w:hAnsi="Arial" w:cs="Arial"/>
        </w:rPr>
      </w:pPr>
    </w:p>
    <w:p>
      <w:pPr>
        <w:autoSpaceDE w:val="0"/>
        <w:autoSpaceDN w:val="0"/>
        <w:adjustRightInd w:val="0"/>
        <w:spacing w:after="0" w:line="240" w:lineRule="auto"/>
        <w:jc w:val="center"/>
        <w:rPr>
          <w:rFonts w:ascii="Arial" w:hAnsi="Arial" w:cs="Arial"/>
          <w:b/>
          <w:bCs/>
        </w:rPr>
      </w:pPr>
      <w:r>
        <w:rPr>
          <w:rFonts w:ascii="Arial" w:hAnsi="Arial" w:cs="Arial"/>
          <w:b/>
          <w:bCs/>
        </w:rPr>
        <w:t>Článek III</w:t>
      </w:r>
    </w:p>
    <w:p>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pPr>
        <w:pStyle w:val="Odstavecseseznamem"/>
        <w:autoSpaceDE w:val="0"/>
        <w:autoSpaceDN w:val="0"/>
        <w:adjustRightInd w:val="0"/>
        <w:spacing w:after="0" w:line="240" w:lineRule="auto"/>
        <w:ind w:left="357"/>
        <w:jc w:val="both"/>
        <w:rPr>
          <w:rFonts w:ascii="Arial" w:hAnsi="Arial" w:cs="Arial"/>
        </w:rPr>
      </w:pPr>
    </w:p>
    <w:p>
      <w:pPr>
        <w:pStyle w:val="Odstavecseseznamem"/>
        <w:autoSpaceDE w:val="0"/>
        <w:autoSpaceDN w:val="0"/>
        <w:adjustRightInd w:val="0"/>
        <w:spacing w:after="0" w:line="240" w:lineRule="auto"/>
        <w:ind w:left="357"/>
        <w:jc w:val="both"/>
        <w:rPr>
          <w:rFonts w:ascii="Arial" w:hAnsi="Arial" w:cs="Arial"/>
        </w:rPr>
      </w:pPr>
    </w:p>
    <w:p>
      <w:pPr>
        <w:autoSpaceDE w:val="0"/>
        <w:autoSpaceDN w:val="0"/>
        <w:adjustRightInd w:val="0"/>
        <w:spacing w:after="0" w:line="240" w:lineRule="auto"/>
        <w:jc w:val="center"/>
        <w:rPr>
          <w:rFonts w:ascii="Arial" w:hAnsi="Arial" w:cs="Arial"/>
          <w:b/>
        </w:rPr>
      </w:pPr>
      <w:r>
        <w:rPr>
          <w:rFonts w:ascii="Arial" w:hAnsi="Arial" w:cs="Arial"/>
          <w:b/>
        </w:rPr>
        <w:t>Článek IV</w:t>
      </w:r>
    </w:p>
    <w:p>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pPr>
        <w:pStyle w:val="Boddohody"/>
        <w:numPr>
          <w:ilvl w:val="0"/>
          <w:numId w:val="9"/>
        </w:numPr>
        <w:autoSpaceDE w:val="0"/>
        <w:autoSpaceDN w:val="0"/>
        <w:adjustRightInd w:val="0"/>
        <w:ind w:left="357" w:hanging="357"/>
        <w:rPr>
          <w:sz w:val="22"/>
          <w:szCs w:val="22"/>
        </w:rPr>
      </w:pPr>
      <w:r>
        <w:rPr>
          <w:sz w:val="22"/>
          <w:szCs w:val="22"/>
        </w:rPr>
        <w:t xml:space="preserve">Úřad práce ČR se zavazuje poskytnout organizátorovi na číslo účtu organizátora          </w:t>
      </w:r>
      <w:r>
        <w:rPr>
          <w:b/>
          <w:sz w:val="22"/>
          <w:szCs w:val="22"/>
        </w:rPr>
        <w:t xml:space="preserve"> xxxxxxxxxxxxxxxx </w:t>
      </w:r>
      <w:r>
        <w:rPr>
          <w:sz w:val="22"/>
          <w:szCs w:val="22"/>
        </w:rPr>
        <w:t>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pPr>
        <w:pStyle w:val="Boddohody"/>
        <w:numPr>
          <w:ilvl w:val="0"/>
          <w:numId w:val="9"/>
        </w:numPr>
        <w:autoSpaceDE w:val="0"/>
        <w:autoSpaceDN w:val="0"/>
        <w:adjustRightInd w:val="0"/>
        <w:ind w:left="357" w:hanging="357"/>
        <w:rPr>
          <w:sz w:val="22"/>
          <w:szCs w:val="22"/>
        </w:rPr>
      </w:pPr>
      <w:r>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r>
        <w:rPr>
          <w:b/>
          <w:sz w:val="22"/>
          <w:szCs w:val="22"/>
        </w:rPr>
        <w:t>xxxxxxxxxxxxxxxx</w:t>
      </w:r>
      <w:r>
        <w:rPr>
          <w:sz w:val="22"/>
          <w:szCs w:val="22"/>
        </w:rPr>
        <w:t>.</w:t>
      </w:r>
    </w:p>
    <w:p>
      <w:pPr>
        <w:spacing w:after="0"/>
        <w:rPr>
          <w:rFonts w:ascii="Arial" w:hAnsi="Arial" w:cs="Arial"/>
          <w:lang w:eastAsia="cs-CZ"/>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center"/>
        <w:rPr>
          <w:rFonts w:ascii="Arial" w:hAnsi="Arial" w:cs="Arial"/>
          <w:b/>
        </w:rPr>
      </w:pPr>
      <w:r>
        <w:rPr>
          <w:rFonts w:ascii="Arial" w:hAnsi="Arial" w:cs="Arial"/>
          <w:b/>
        </w:rPr>
        <w:t>Článek V</w:t>
      </w:r>
    </w:p>
    <w:p>
      <w:pPr>
        <w:pStyle w:val="lnek"/>
        <w:spacing w:before="0" w:after="120"/>
      </w:pPr>
      <w:r>
        <w:t>Ujednání o vypovězení smlouvy</w:t>
      </w:r>
    </w:p>
    <w:p>
      <w:pPr>
        <w:pStyle w:val="Boddohody"/>
        <w:numPr>
          <w:ilvl w:val="0"/>
          <w:numId w:val="4"/>
        </w:numPr>
        <w:rPr>
          <w:sz w:val="22"/>
          <w:szCs w:val="22"/>
        </w:rPr>
      </w:pPr>
      <w:r>
        <w:rPr>
          <w:sz w:val="22"/>
          <w:szCs w:val="22"/>
        </w:rPr>
        <w:t>Úřad práce ČR si vyhrazuje právo smlouvu vypovědět v případě, že organizátor opakovaně nebo dlouhodobě nebude plnit závazky uvedené v Článku II této smlouvy. Podmínkou k uplatnění práva smlouvu vypovědět je neúspěšné jednání smluvních stran o přijetí opatření k zajištění řádného a včasného plnění povinností vyplývajících této smlouvy.</w:t>
      </w:r>
    </w:p>
    <w:p>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pPr>
        <w:pStyle w:val="Boddohody"/>
        <w:rPr>
          <w:sz w:val="22"/>
          <w:szCs w:val="22"/>
        </w:rPr>
      </w:pPr>
      <w:r>
        <w:rPr>
          <w:sz w:val="22"/>
          <w:szCs w:val="22"/>
        </w:rPr>
        <w:t>Úřad práce ČR si vyhrazuje právo neposkytnout příspěvek dle článku IV této smlouvy, který by organizátorovi náležel za dobu plynutí výpovědní doby.</w:t>
      </w:r>
    </w:p>
    <w:p>
      <w:pPr>
        <w:spacing w:after="0"/>
        <w:rPr>
          <w:rFonts w:ascii="Arial" w:hAnsi="Arial" w:cs="Arial"/>
          <w:lang w:eastAsia="cs-CZ"/>
        </w:rPr>
      </w:pPr>
    </w:p>
    <w:p>
      <w:pPr>
        <w:spacing w:after="0"/>
        <w:rPr>
          <w:rFonts w:ascii="Arial" w:hAnsi="Arial" w:cs="Arial"/>
          <w:lang w:eastAsia="cs-CZ"/>
        </w:rPr>
      </w:pPr>
    </w:p>
    <w:p>
      <w:pPr>
        <w:spacing w:after="0"/>
        <w:jc w:val="center"/>
        <w:rPr>
          <w:rFonts w:ascii="Arial" w:hAnsi="Arial" w:cs="Arial"/>
          <w:b/>
          <w:lang w:eastAsia="cs-CZ"/>
        </w:rPr>
      </w:pPr>
      <w:r>
        <w:rPr>
          <w:rFonts w:ascii="Arial" w:hAnsi="Arial" w:cs="Arial"/>
          <w:b/>
          <w:lang w:eastAsia="cs-CZ"/>
        </w:rPr>
        <w:t>Článek VI</w:t>
      </w:r>
    </w:p>
    <w:p>
      <w:pPr>
        <w:spacing w:after="120"/>
        <w:jc w:val="center"/>
        <w:rPr>
          <w:rFonts w:ascii="Arial" w:hAnsi="Arial" w:cs="Arial"/>
          <w:b/>
          <w:lang w:eastAsia="cs-CZ"/>
        </w:rPr>
      </w:pPr>
      <w:r>
        <w:rPr>
          <w:rFonts w:ascii="Arial" w:hAnsi="Arial" w:cs="Arial"/>
          <w:b/>
        </w:rPr>
        <w:t>Závěrečná ujednání</w:t>
      </w:r>
    </w:p>
    <w:p>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oznámit písemně bez zbytečného odkladu. Ostatní změny, týkající se této smlouvy, je organizátor povinen Úřadu práce písemně sdělit vždy tak, aby k uzavření případného dodatku došlo před nabytím jejich účinnosti.</w:t>
      </w:r>
    </w:p>
    <w:p>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pPr>
        <w:pStyle w:val="Boddohody"/>
        <w:numPr>
          <w:ilvl w:val="0"/>
          <w:numId w:val="6"/>
        </w:numPr>
        <w:rPr>
          <w:sz w:val="22"/>
          <w:szCs w:val="22"/>
        </w:rPr>
      </w:pPr>
      <w:r>
        <w:rPr>
          <w:sz w:val="22"/>
          <w:szCs w:val="22"/>
        </w:rPr>
        <w:lastRenderedPageBreak/>
        <w:t xml:space="preserve">Smluvní strany prohlašují, že s obsahem této smlouvy bez výhrad souhlasí, smlouva byla uzavřena po vzájemném projednání a že byly seznámeny s veškerými právy a povinnostmi, které pro ně z této smlouvy vyplývají. </w:t>
      </w:r>
    </w:p>
    <w:p>
      <w:pPr>
        <w:pStyle w:val="Boddohody"/>
        <w:numPr>
          <w:ilvl w:val="0"/>
          <w:numId w:val="6"/>
        </w:numPr>
        <w:rPr>
          <w:sz w:val="22"/>
          <w:szCs w:val="22"/>
        </w:rPr>
      </w:pPr>
      <w:r>
        <w:rPr>
          <w:sz w:val="22"/>
          <w:szCs w:val="22"/>
        </w:rPr>
        <w:t>Smlouva nabývá platnosti dnem jejího podpisu oběma smluvními stranami.</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V Olomouci dne: </w:t>
      </w:r>
    </w:p>
    <w:p>
      <w:pPr>
        <w:rPr>
          <w:rFonts w:ascii="Arial" w:hAnsi="Arial" w:cs="Arial"/>
        </w:rPr>
      </w:pPr>
    </w:p>
    <w:p>
      <w:pPr>
        <w:rPr>
          <w:rFonts w:ascii="Arial" w:hAnsi="Arial" w:cs="Arial"/>
        </w:rPr>
      </w:pPr>
      <w:r>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tc>
          <w:tcPr>
            <w:tcW w:w="4832" w:type="dxa"/>
          </w:tcPr>
          <w:p>
            <w:pPr>
              <w:keepNext/>
              <w:keepLines/>
              <w:jc w:val="center"/>
              <w:rPr>
                <w:rFonts w:ascii="Arial" w:hAnsi="Arial" w:cs="Arial"/>
                <w:sz w:val="22"/>
                <w:szCs w:val="22"/>
              </w:rPr>
            </w:pPr>
            <w:r>
              <w:rPr>
                <w:rFonts w:ascii="Arial" w:hAnsi="Arial" w:cs="Arial"/>
                <w:sz w:val="22"/>
                <w:szCs w:val="22"/>
              </w:rPr>
              <w:t>..................................................................</w:t>
            </w:r>
          </w:p>
        </w:tc>
        <w:tc>
          <w:tcPr>
            <w:tcW w:w="4832" w:type="dxa"/>
          </w:tcPr>
          <w:p>
            <w:pPr>
              <w:keepNext/>
              <w:keepLines/>
              <w:jc w:val="center"/>
              <w:rPr>
                <w:rFonts w:ascii="Arial" w:hAnsi="Arial" w:cs="Arial"/>
                <w:sz w:val="22"/>
                <w:szCs w:val="22"/>
              </w:rPr>
            </w:pPr>
            <w:r>
              <w:rPr>
                <w:rFonts w:ascii="Arial" w:hAnsi="Arial" w:cs="Arial"/>
                <w:sz w:val="22"/>
                <w:szCs w:val="22"/>
              </w:rPr>
              <w:t>..................................................................</w:t>
            </w:r>
          </w:p>
        </w:tc>
      </w:tr>
      <w:tr>
        <w:tc>
          <w:tcPr>
            <w:tcW w:w="4832" w:type="dxa"/>
          </w:tcPr>
          <w:p>
            <w:pPr>
              <w:keepNext/>
              <w:keepLines/>
              <w:jc w:val="center"/>
              <w:rPr>
                <w:rFonts w:ascii="Arial" w:hAnsi="Arial" w:cs="Arial"/>
                <w:sz w:val="22"/>
                <w:szCs w:val="22"/>
              </w:rPr>
            </w:pPr>
            <w:r>
              <w:rPr>
                <w:rFonts w:ascii="Arial" w:hAnsi="Arial" w:cs="Arial"/>
                <w:sz w:val="22"/>
                <w:szCs w:val="22"/>
              </w:rPr>
              <w:t>Danuše Lhotáková</w:t>
            </w:r>
          </w:p>
          <w:p>
            <w:pPr>
              <w:keepNext/>
              <w:keepLines/>
              <w:jc w:val="center"/>
              <w:rPr>
                <w:rFonts w:ascii="Arial" w:hAnsi="Arial" w:cs="Arial"/>
                <w:sz w:val="22"/>
                <w:szCs w:val="22"/>
              </w:rPr>
            </w:pPr>
            <w:r>
              <w:rPr>
                <w:rFonts w:ascii="Arial" w:hAnsi="Arial" w:cs="Arial"/>
                <w:sz w:val="22"/>
                <w:szCs w:val="22"/>
              </w:rPr>
              <w:t>starostka obce Komárov</w:t>
            </w:r>
          </w:p>
        </w:tc>
        <w:tc>
          <w:tcPr>
            <w:tcW w:w="4832" w:type="dxa"/>
          </w:tcPr>
          <w:p>
            <w:pPr>
              <w:keepNext/>
              <w:keepLines/>
              <w:jc w:val="center"/>
              <w:rPr>
                <w:rFonts w:ascii="Arial" w:hAnsi="Arial" w:cs="Arial"/>
                <w:sz w:val="22"/>
                <w:szCs w:val="22"/>
              </w:rPr>
            </w:pPr>
            <w:r>
              <w:rPr>
                <w:rFonts w:ascii="Arial" w:hAnsi="Arial" w:cs="Arial"/>
                <w:sz w:val="22"/>
                <w:szCs w:val="22"/>
              </w:rPr>
              <w:t>Ing. Bořivoj Novotný</w:t>
            </w:r>
          </w:p>
          <w:p>
            <w:pPr>
              <w:keepNext/>
              <w:keepLines/>
              <w:jc w:val="center"/>
              <w:rPr>
                <w:rFonts w:ascii="Arial" w:hAnsi="Arial" w:cs="Arial"/>
                <w:sz w:val="22"/>
                <w:szCs w:val="22"/>
              </w:rPr>
            </w:pPr>
            <w:r>
              <w:rPr>
                <w:rFonts w:ascii="Arial" w:hAnsi="Arial" w:cs="Arial"/>
                <w:sz w:val="22"/>
                <w:szCs w:val="22"/>
              </w:rPr>
              <w:t>ředitel Odboru zaměstnanosti krajské pobočky v Olomouci</w:t>
            </w: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bl>
    <w:p>
      <w:pPr>
        <w:rPr>
          <w:rFonts w:ascii="Arial" w:hAnsi="Arial" w:cs="Arial"/>
        </w:rPr>
      </w:pPr>
    </w:p>
    <w:p>
      <w:pPr>
        <w:rPr>
          <w:rFonts w:ascii="Arial" w:hAnsi="Arial" w:cs="Arial"/>
        </w:rPr>
      </w:pPr>
    </w:p>
    <w:p>
      <w:pPr>
        <w:rPr>
          <w:rFonts w:ascii="Arial" w:hAnsi="Arial" w:cs="Arial"/>
        </w:rPr>
      </w:pPr>
    </w:p>
    <w:p>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t>Mgr. Petr Navrátil</w:t>
      </w:r>
    </w:p>
    <w:p>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t>xxxxx</w:t>
      </w:r>
      <w:bookmarkStart w:id="0" w:name="_GoBack"/>
      <w:bookmarkEnd w:id="0"/>
    </w:p>
    <w:p>
      <w:pPr>
        <w:keepLines/>
        <w:tabs>
          <w:tab w:val="left" w:pos="2160"/>
        </w:tabs>
        <w:rPr>
          <w:rFonts w:ascii="Arial" w:hAnsi="Arial" w:cs="Arial"/>
        </w:rPr>
      </w:pPr>
      <w:r>
        <w:rPr>
          <w:rFonts w:ascii="Arial" w:hAnsi="Arial" w:cs="Arial"/>
        </w:rPr>
        <w:t>e-mail:                                   petr.navratil</w:t>
      </w:r>
      <w:r>
        <w:rPr>
          <w:rFonts w:ascii="Arial" w:hAnsi="Arial" w:cs="Arial"/>
          <w:lang w:val="en-US"/>
        </w:rPr>
        <w:t>@</w:t>
      </w:r>
      <w:r>
        <w:rPr>
          <w:rFonts w:ascii="Arial" w:hAnsi="Arial" w:cs="Arial"/>
        </w:rPr>
        <w:t xml:space="preserve">ol.mpsv.cz  </w:t>
      </w:r>
    </w:p>
    <w:p>
      <w:pPr>
        <w:keepNext/>
        <w:keepLines/>
        <w:rPr>
          <w:rFonts w:ascii="Arial" w:hAnsi="Arial" w:cs="Arial"/>
          <w:bCs/>
        </w:rPr>
      </w:pPr>
    </w:p>
    <w:p>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pPr>
        <w:keepNext/>
        <w:keepLines/>
        <w:ind w:left="1410" w:hanging="1410"/>
        <w:rPr>
          <w:rFonts w:ascii="Arial" w:hAnsi="Arial" w:cs="Arial"/>
        </w:rPr>
      </w:pPr>
    </w:p>
    <w:sectPr>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Pr>
        <w:rFonts w:ascii="Arial" w:hAnsi="Arial" w:cs="Arial"/>
        <w:i/>
        <w:noProof/>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F7B"/>
    <w:multiLevelType w:val="hybridMultilevel"/>
    <w:tmpl w:val="96829FDA"/>
    <w:lvl w:ilvl="0" w:tplc="E884CEB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23430350"/>
    <w:multiLevelType w:val="hybridMultilevel"/>
    <w:tmpl w:val="1682D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831E8C"/>
    <w:multiLevelType w:val="hybridMultilevel"/>
    <w:tmpl w:val="A0126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BE3043"/>
    <w:multiLevelType w:val="hybridMultilevel"/>
    <w:tmpl w:val="F4F627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D9342F0"/>
    <w:multiLevelType w:val="hybridMultilevel"/>
    <w:tmpl w:val="91A01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E817855"/>
    <w:multiLevelType w:val="hybridMultilevel"/>
    <w:tmpl w:val="42368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E833FF5"/>
    <w:multiLevelType w:val="hybridMultilevel"/>
    <w:tmpl w:val="D7E04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0"/>
    <w:lvlOverride w:ilvl="0">
      <w:startOverride w:val="1"/>
    </w:lvlOverride>
  </w:num>
  <w:num w:numId="5">
    <w:abstractNumId w:val="9"/>
  </w:num>
  <w:num w:numId="6">
    <w:abstractNumId w:val="9"/>
    <w:lvlOverride w:ilvl="0">
      <w:startOverride w:val="1"/>
    </w:lvlOverride>
  </w:num>
  <w:num w:numId="7">
    <w:abstractNumId w:val="10"/>
  </w:num>
  <w:num w:numId="8">
    <w:abstractNumId w:val="9"/>
  </w:num>
  <w:num w:numId="9">
    <w:abstractNumId w:val="11"/>
  </w:num>
  <w:num w:numId="10">
    <w:abstractNumId w:val="9"/>
  </w:num>
  <w:num w:numId="11">
    <w:abstractNumId w:val="9"/>
  </w:num>
  <w:num w:numId="12">
    <w:abstractNumId w:val="5"/>
  </w:num>
  <w:num w:numId="13">
    <w:abstractNumId w:val="7"/>
  </w:num>
  <w:num w:numId="14">
    <w:abstractNumId w:val="3"/>
  </w:num>
  <w:num w:numId="15">
    <w:abstractNumId w:val="4"/>
  </w:num>
  <w:num w:numId="16">
    <w:abstractNumId w:val="14"/>
  </w:num>
  <w:num w:numId="17">
    <w:abstractNumId w:val="12"/>
  </w:num>
  <w:num w:numId="18">
    <w:abstractNumId w:val="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AB33-565F-4693-A049-DAB0EA66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1591</Words>
  <Characters>9388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Uživatel systému Windows</cp:lastModifiedBy>
  <cp:revision>43</cp:revision>
  <cp:lastPrinted>2017-07-27T08:35:00Z</cp:lastPrinted>
  <dcterms:created xsi:type="dcterms:W3CDTF">2017-02-13T15:16:00Z</dcterms:created>
  <dcterms:modified xsi:type="dcterms:W3CDTF">2017-08-18T10:19:00Z</dcterms:modified>
</cp:coreProperties>
</file>