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CF0CA" w14:textId="6986C8B1" w:rsidR="00F44407" w:rsidRDefault="00F44407">
      <w:pPr>
        <w:pStyle w:val="nadpis10"/>
        <w:widowControl/>
        <w:spacing w:before="120"/>
        <w:ind w:right="33"/>
        <w:outlineLvl w:val="0"/>
      </w:pPr>
      <w:r>
        <w:t xml:space="preserve">Dodatek č. </w:t>
      </w:r>
      <w:r w:rsidR="009874F6">
        <w:t>2</w:t>
      </w:r>
    </w:p>
    <w:p w14:paraId="66AD801B" w14:textId="2AF0637F" w:rsidR="008E1E69" w:rsidRDefault="00F44407">
      <w:pPr>
        <w:pStyle w:val="nadpis10"/>
        <w:widowControl/>
        <w:spacing w:before="120"/>
        <w:ind w:right="33"/>
        <w:outlineLvl w:val="0"/>
      </w:pPr>
      <w:r>
        <w:t>smlouvy</w:t>
      </w:r>
      <w:r w:rsidR="008E1E69">
        <w:t xml:space="preserve"> o nájmu </w:t>
      </w:r>
      <w:r w:rsidR="002B5FD0">
        <w:t>č. 202</w:t>
      </w:r>
      <w:r w:rsidR="0026486C">
        <w:t>3</w:t>
      </w:r>
      <w:r w:rsidR="002B5FD0">
        <w:t>-</w:t>
      </w:r>
      <w:r w:rsidR="00833B80" w:rsidRPr="00833B80">
        <w:t>0</w:t>
      </w:r>
      <w:r w:rsidR="0056265A">
        <w:t>549</w:t>
      </w:r>
      <w:r w:rsidR="00A16E6D">
        <w:t xml:space="preserve"> (PS/2024/493)</w:t>
      </w:r>
    </w:p>
    <w:p w14:paraId="29186666" w14:textId="35CA9B92" w:rsidR="008E1E69" w:rsidRDefault="00F44407" w:rsidP="00A76F18">
      <w:pPr>
        <w:pStyle w:val="Odstavec1"/>
        <w:jc w:val="left"/>
        <w:rPr>
          <w:color w:val="auto"/>
        </w:rPr>
      </w:pPr>
      <w:r>
        <w:rPr>
          <w:color w:val="auto"/>
        </w:rPr>
        <w:t xml:space="preserve">uzavřené dne </w:t>
      </w:r>
      <w:r w:rsidR="0056265A">
        <w:rPr>
          <w:color w:val="auto"/>
        </w:rPr>
        <w:t>10.</w:t>
      </w:r>
      <w:r w:rsidR="00A16E6D">
        <w:rPr>
          <w:color w:val="auto"/>
        </w:rPr>
        <w:t xml:space="preserve"> </w:t>
      </w:r>
      <w:r w:rsidR="0056265A">
        <w:rPr>
          <w:color w:val="auto"/>
        </w:rPr>
        <w:t>10.</w:t>
      </w:r>
      <w:r w:rsidR="00A16E6D">
        <w:rPr>
          <w:color w:val="auto"/>
        </w:rPr>
        <w:t xml:space="preserve"> </w:t>
      </w:r>
      <w:r w:rsidR="0056265A">
        <w:rPr>
          <w:color w:val="auto"/>
        </w:rPr>
        <w:t>2023</w:t>
      </w:r>
    </w:p>
    <w:p w14:paraId="281D21AF" w14:textId="77777777" w:rsidR="008E1E69" w:rsidRDefault="008E1E69">
      <w:pPr>
        <w:pStyle w:val="nadpis10"/>
        <w:widowControl/>
        <w:ind w:right="3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</w:t>
      </w:r>
    </w:p>
    <w:p w14:paraId="00A20D1F" w14:textId="77777777" w:rsidR="008E1E69" w:rsidRDefault="008E1E69">
      <w:pPr>
        <w:ind w:right="33"/>
        <w:rPr>
          <w:sz w:val="4"/>
        </w:rPr>
      </w:pPr>
    </w:p>
    <w:p w14:paraId="63DE09DE" w14:textId="77777777" w:rsidR="008E1E69" w:rsidRDefault="008E1E69">
      <w:pPr>
        <w:tabs>
          <w:tab w:val="left" w:pos="2268"/>
        </w:tabs>
        <w:ind w:right="33"/>
        <w:outlineLvl w:val="0"/>
      </w:pPr>
      <w:r>
        <w:t>Smluvní strany:</w:t>
      </w:r>
      <w:r>
        <w:tab/>
      </w:r>
      <w:r>
        <w:rPr>
          <w:b/>
        </w:rPr>
        <w:t>Veletrhy Brno</w:t>
      </w:r>
      <w:r>
        <w:t>, a. s.</w:t>
      </w:r>
    </w:p>
    <w:p w14:paraId="582D7EE9" w14:textId="34E67917" w:rsidR="008E1E69" w:rsidRDefault="008E1E69">
      <w:pPr>
        <w:tabs>
          <w:tab w:val="left" w:pos="2268"/>
        </w:tabs>
        <w:ind w:right="33"/>
      </w:pPr>
      <w:r>
        <w:tab/>
        <w:t xml:space="preserve">Výstaviště 1, </w:t>
      </w:r>
      <w:r w:rsidR="007F384D">
        <w:t>603</w:t>
      </w:r>
      <w:r>
        <w:t xml:space="preserve"> 00 Brno, </w:t>
      </w:r>
      <w:r w:rsidR="00E352C2">
        <w:t>zastoupená</w:t>
      </w:r>
    </w:p>
    <w:p w14:paraId="591E66DE" w14:textId="77777777" w:rsidR="00E352C2" w:rsidRPr="00BA3A6B" w:rsidRDefault="008E1E69" w:rsidP="00E352C2">
      <w:pPr>
        <w:tabs>
          <w:tab w:val="left" w:pos="2268"/>
        </w:tabs>
        <w:ind w:right="33"/>
      </w:pPr>
      <w:r>
        <w:tab/>
      </w:r>
      <w:r w:rsidR="00E352C2" w:rsidRPr="00BA3A6B">
        <w:t xml:space="preserve">Ing. Lukášem </w:t>
      </w:r>
      <w:proofErr w:type="spellStart"/>
      <w:r w:rsidR="00E352C2" w:rsidRPr="00BA3A6B">
        <w:t>Helanem</w:t>
      </w:r>
      <w:proofErr w:type="spellEnd"/>
      <w:r w:rsidR="00E352C2" w:rsidRPr="00BA3A6B">
        <w:t xml:space="preserve">, prokuristou společnosti a </w:t>
      </w:r>
    </w:p>
    <w:p w14:paraId="7E5D29A3" w14:textId="77777777" w:rsidR="00E352C2" w:rsidRDefault="00E352C2" w:rsidP="00E352C2">
      <w:pPr>
        <w:tabs>
          <w:tab w:val="left" w:pos="2268"/>
        </w:tabs>
        <w:ind w:right="33"/>
      </w:pPr>
      <w:r w:rsidRPr="00BA3A6B">
        <w:tab/>
        <w:t>Ing. Radkem Trčkou, prokuristou společnosti</w:t>
      </w:r>
    </w:p>
    <w:p w14:paraId="0000C888" w14:textId="0653D4FB" w:rsidR="008E1E69" w:rsidRDefault="008E1E69" w:rsidP="00E352C2">
      <w:pPr>
        <w:tabs>
          <w:tab w:val="left" w:pos="2268"/>
        </w:tabs>
        <w:ind w:right="33"/>
      </w:pPr>
      <w:r>
        <w:tab/>
        <w:t>(dále jen „pronajímatel“)</w:t>
      </w:r>
    </w:p>
    <w:p w14:paraId="3919AAD3" w14:textId="77777777" w:rsidR="008E1E69" w:rsidRDefault="008E1E69">
      <w:pPr>
        <w:tabs>
          <w:tab w:val="left" w:pos="2268"/>
        </w:tabs>
        <w:ind w:right="33"/>
        <w:rPr>
          <w:sz w:val="8"/>
        </w:rPr>
      </w:pPr>
    </w:p>
    <w:p w14:paraId="28BB3AF2" w14:textId="01776B3E" w:rsidR="008E1E69" w:rsidRDefault="008E1E69">
      <w:pPr>
        <w:tabs>
          <w:tab w:val="left" w:pos="2268"/>
        </w:tabs>
        <w:ind w:right="33"/>
      </w:pPr>
      <w:r>
        <w:tab/>
        <w:t xml:space="preserve">bankovní spojení </w:t>
      </w:r>
      <w:proofErr w:type="spellStart"/>
      <w:r w:rsidR="00794BD0">
        <w:t>xxxx</w:t>
      </w:r>
      <w:proofErr w:type="spellEnd"/>
      <w:r>
        <w:t xml:space="preserve">, č. </w:t>
      </w:r>
      <w:proofErr w:type="spellStart"/>
      <w:r>
        <w:t>ú.</w:t>
      </w:r>
      <w:proofErr w:type="spellEnd"/>
      <w:r>
        <w:t xml:space="preserve"> </w:t>
      </w:r>
      <w:proofErr w:type="spellStart"/>
      <w:r w:rsidR="00794BD0">
        <w:t>xxxx</w:t>
      </w:r>
      <w:proofErr w:type="spellEnd"/>
    </w:p>
    <w:p w14:paraId="31D11275" w14:textId="77777777" w:rsidR="008E1E69" w:rsidRDefault="008E1E69">
      <w:pPr>
        <w:tabs>
          <w:tab w:val="left" w:pos="2268"/>
        </w:tabs>
        <w:ind w:right="33"/>
      </w:pPr>
      <w:r>
        <w:tab/>
        <w:t>IČ: 255 82 518, zapsaná u Krajského soudu v Brně pod spis. zn. B 3137</w:t>
      </w:r>
    </w:p>
    <w:p w14:paraId="3CBDE35A" w14:textId="77777777" w:rsidR="008E1E69" w:rsidRDefault="008E1E69">
      <w:pPr>
        <w:tabs>
          <w:tab w:val="left" w:pos="2268"/>
        </w:tabs>
        <w:ind w:right="33"/>
      </w:pPr>
      <w:r>
        <w:tab/>
        <w:t>DIČ: CZ25582518</w:t>
      </w:r>
    </w:p>
    <w:p w14:paraId="5BC7CD29" w14:textId="77777777" w:rsidR="008E1E69" w:rsidRDefault="008E1E69">
      <w:pPr>
        <w:tabs>
          <w:tab w:val="left" w:pos="2268"/>
        </w:tabs>
        <w:ind w:right="33"/>
      </w:pPr>
      <w:r>
        <w:tab/>
        <w:t>plátce DPH</w:t>
      </w:r>
    </w:p>
    <w:p w14:paraId="1B167317" w14:textId="77777777" w:rsidR="008E1E69" w:rsidRDefault="008E1E69">
      <w:pPr>
        <w:tabs>
          <w:tab w:val="left" w:pos="2268"/>
        </w:tabs>
        <w:ind w:right="33"/>
        <w:rPr>
          <w:sz w:val="8"/>
        </w:rPr>
      </w:pPr>
    </w:p>
    <w:p w14:paraId="474A00FD" w14:textId="77777777" w:rsidR="008E1E69" w:rsidRDefault="008E1E69">
      <w:pPr>
        <w:tabs>
          <w:tab w:val="left" w:pos="2268"/>
        </w:tabs>
        <w:ind w:right="33"/>
      </w:pPr>
      <w:r>
        <w:tab/>
        <w:t>a</w:t>
      </w:r>
    </w:p>
    <w:p w14:paraId="7D14B642" w14:textId="77777777" w:rsidR="008E1E69" w:rsidRDefault="008E1E69">
      <w:pPr>
        <w:tabs>
          <w:tab w:val="left" w:pos="2268"/>
        </w:tabs>
        <w:ind w:right="33"/>
        <w:rPr>
          <w:sz w:val="8"/>
        </w:rPr>
      </w:pPr>
    </w:p>
    <w:p w14:paraId="7D77FB8E" w14:textId="0644A80B" w:rsidR="0056265A" w:rsidRDefault="008E1E69" w:rsidP="0056265A">
      <w:pPr>
        <w:tabs>
          <w:tab w:val="left" w:pos="2268"/>
        </w:tabs>
        <w:ind w:right="33"/>
      </w:pPr>
      <w:r>
        <w:tab/>
      </w:r>
      <w:r w:rsidR="0056265A">
        <w:rPr>
          <w:b/>
        </w:rPr>
        <w:t>ARENA BRNO, a.</w:t>
      </w:r>
      <w:r w:rsidR="00E838E4">
        <w:rPr>
          <w:b/>
        </w:rPr>
        <w:t xml:space="preserve"> </w:t>
      </w:r>
      <w:r w:rsidR="0056265A">
        <w:rPr>
          <w:b/>
        </w:rPr>
        <w:t>s.</w:t>
      </w:r>
    </w:p>
    <w:p w14:paraId="7EFA83AC" w14:textId="77777777" w:rsidR="0056265A" w:rsidRDefault="0056265A" w:rsidP="0056265A">
      <w:pPr>
        <w:tabs>
          <w:tab w:val="left" w:pos="2268"/>
        </w:tabs>
        <w:ind w:right="33"/>
      </w:pPr>
      <w:r>
        <w:tab/>
        <w:t>Výstaviště 405/1, 603 00 Brno, zastoupená</w:t>
      </w:r>
    </w:p>
    <w:p w14:paraId="6B9A5EE2" w14:textId="658DD01F" w:rsidR="0056265A" w:rsidRDefault="00794BD0" w:rsidP="0056265A">
      <w:pPr>
        <w:tabs>
          <w:tab w:val="left" w:pos="2268"/>
        </w:tabs>
        <w:ind w:left="2268" w:right="33"/>
      </w:pPr>
      <w:proofErr w:type="spellStart"/>
      <w:r>
        <w:t>xxxx</w:t>
      </w:r>
      <w:proofErr w:type="spellEnd"/>
      <w:r w:rsidR="0056265A">
        <w:t>, ředitelem společnosti jednajícím na základě pověření ze dne 11.07.2023</w:t>
      </w:r>
    </w:p>
    <w:p w14:paraId="1C36F89E" w14:textId="77777777" w:rsidR="0056265A" w:rsidRDefault="0056265A" w:rsidP="0056265A">
      <w:pPr>
        <w:tabs>
          <w:tab w:val="left" w:pos="2268"/>
        </w:tabs>
        <w:ind w:right="33"/>
      </w:pPr>
      <w:r>
        <w:tab/>
        <w:t>(dále jen „nájemce“)</w:t>
      </w:r>
    </w:p>
    <w:p w14:paraId="03EC8A43" w14:textId="77777777" w:rsidR="0056265A" w:rsidRDefault="0056265A" w:rsidP="0056265A">
      <w:pPr>
        <w:tabs>
          <w:tab w:val="left" w:pos="2268"/>
        </w:tabs>
        <w:ind w:right="33"/>
        <w:rPr>
          <w:sz w:val="8"/>
        </w:rPr>
      </w:pPr>
    </w:p>
    <w:p w14:paraId="2480DD0C" w14:textId="74F49C0A" w:rsidR="0056265A" w:rsidRDefault="0056265A" w:rsidP="0056265A">
      <w:pPr>
        <w:tabs>
          <w:tab w:val="left" w:pos="2268"/>
        </w:tabs>
        <w:ind w:right="33"/>
      </w:pPr>
      <w:r>
        <w:tab/>
        <w:t xml:space="preserve">bankovní spojení </w:t>
      </w:r>
      <w:proofErr w:type="spellStart"/>
      <w:r w:rsidR="00794BD0">
        <w:t>xxxx</w:t>
      </w:r>
      <w:proofErr w:type="spellEnd"/>
      <w:r>
        <w:t xml:space="preserve">., č. </w:t>
      </w:r>
      <w:proofErr w:type="spellStart"/>
      <w:r>
        <w:t>ú.</w:t>
      </w:r>
      <w:proofErr w:type="spellEnd"/>
      <w:r>
        <w:t xml:space="preserve">: </w:t>
      </w:r>
      <w:proofErr w:type="spellStart"/>
      <w:r w:rsidR="00794BD0">
        <w:t>xxxx</w:t>
      </w:r>
      <w:proofErr w:type="spellEnd"/>
    </w:p>
    <w:p w14:paraId="7EACCB61" w14:textId="77777777" w:rsidR="0056265A" w:rsidRDefault="0056265A" w:rsidP="0056265A">
      <w:pPr>
        <w:tabs>
          <w:tab w:val="left" w:pos="2268"/>
        </w:tabs>
        <w:ind w:right="33"/>
      </w:pPr>
      <w:r>
        <w:tab/>
        <w:t>IČ: 091 33 267, zapsaná u Krajského soudu v Brně pod spis. zn. B 8383</w:t>
      </w:r>
    </w:p>
    <w:p w14:paraId="46034704" w14:textId="77777777" w:rsidR="0056265A" w:rsidRDefault="0056265A" w:rsidP="0056265A">
      <w:pPr>
        <w:tabs>
          <w:tab w:val="left" w:pos="2268"/>
        </w:tabs>
        <w:ind w:right="33"/>
      </w:pPr>
      <w:r>
        <w:tab/>
        <w:t>DIČ: CZ09133267</w:t>
      </w:r>
    </w:p>
    <w:p w14:paraId="06C84B2F" w14:textId="77777777" w:rsidR="0056265A" w:rsidRDefault="0056265A" w:rsidP="0056265A">
      <w:pPr>
        <w:tabs>
          <w:tab w:val="left" w:pos="2268"/>
        </w:tabs>
        <w:ind w:right="33"/>
      </w:pPr>
      <w:r>
        <w:tab/>
        <w:t>plátce DPH</w:t>
      </w:r>
    </w:p>
    <w:p w14:paraId="5E12D463" w14:textId="4CF8FEAC" w:rsidR="008E1E69" w:rsidRDefault="008E1E69">
      <w:pPr>
        <w:ind w:right="33"/>
      </w:pPr>
      <w:r>
        <w:t>_______________________________________________________________________________________________</w:t>
      </w:r>
    </w:p>
    <w:p w14:paraId="151C32A6" w14:textId="77777777" w:rsidR="009874F6" w:rsidRPr="003A06A8" w:rsidRDefault="009874F6" w:rsidP="009874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06A8">
        <w:rPr>
          <w:rFonts w:ascii="Arial" w:hAnsi="Arial" w:cs="Arial"/>
          <w:b/>
          <w:bCs/>
          <w:sz w:val="24"/>
          <w:szCs w:val="24"/>
        </w:rPr>
        <w:t>I.</w:t>
      </w:r>
    </w:p>
    <w:p w14:paraId="75CFD18F" w14:textId="77777777" w:rsidR="009874F6" w:rsidRDefault="009874F6" w:rsidP="009874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06A8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40A75130" w14:textId="2097307F" w:rsidR="009874F6" w:rsidRPr="00840982" w:rsidRDefault="009874F6" w:rsidP="009874F6">
      <w:pPr>
        <w:numPr>
          <w:ilvl w:val="0"/>
          <w:numId w:val="30"/>
        </w:numPr>
        <w:spacing w:before="120"/>
        <w:ind w:left="425" w:hanging="425"/>
        <w:jc w:val="both"/>
        <w:rPr>
          <w:b/>
          <w:snapToGrid w:val="0"/>
        </w:rPr>
      </w:pPr>
      <w:r w:rsidRPr="00840982">
        <w:rPr>
          <w:snapToGrid w:val="0"/>
        </w:rPr>
        <w:t xml:space="preserve">Shora uvedené smluvní strany uzavřely dne </w:t>
      </w:r>
      <w:r>
        <w:rPr>
          <w:szCs w:val="24"/>
        </w:rPr>
        <w:t>10. 10. 2023</w:t>
      </w:r>
      <w:r w:rsidRPr="00840982">
        <w:rPr>
          <w:snapToGrid w:val="0"/>
        </w:rPr>
        <w:t xml:space="preserve"> smlouvu o nájmu č. </w:t>
      </w:r>
      <w:r>
        <w:rPr>
          <w:szCs w:val="24"/>
        </w:rPr>
        <w:t>2023-0549</w:t>
      </w:r>
      <w:r w:rsidRPr="00840982">
        <w:rPr>
          <w:snapToGrid w:val="0"/>
        </w:rPr>
        <w:t xml:space="preserve"> </w:t>
      </w:r>
      <w:r w:rsidR="00A16E6D">
        <w:rPr>
          <w:snapToGrid w:val="0"/>
        </w:rPr>
        <w:t>(PS/2024/493)</w:t>
      </w:r>
      <w:r w:rsidR="00A16E6D" w:rsidRPr="00840982">
        <w:rPr>
          <w:snapToGrid w:val="0"/>
        </w:rPr>
        <w:t xml:space="preserve"> (</w:t>
      </w:r>
      <w:r w:rsidRPr="00840982">
        <w:rPr>
          <w:snapToGrid w:val="0"/>
        </w:rPr>
        <w:t>dále jen „</w:t>
      </w:r>
      <w:r w:rsidRPr="00840982">
        <w:rPr>
          <w:b/>
          <w:snapToGrid w:val="0"/>
        </w:rPr>
        <w:t>Smlouva</w:t>
      </w:r>
      <w:r w:rsidRPr="00840982">
        <w:rPr>
          <w:snapToGrid w:val="0"/>
        </w:rPr>
        <w:t>“), jejímž předmětem je závazek pronajímatele pronajmout za úplatu nájemci specifikované prostory.</w:t>
      </w:r>
    </w:p>
    <w:p w14:paraId="6DE26A30" w14:textId="77777777" w:rsidR="009874F6" w:rsidRPr="00840982" w:rsidRDefault="009874F6" w:rsidP="009874F6">
      <w:pPr>
        <w:numPr>
          <w:ilvl w:val="0"/>
          <w:numId w:val="30"/>
        </w:numPr>
        <w:spacing w:before="60"/>
        <w:ind w:left="357" w:hanging="357"/>
        <w:jc w:val="both"/>
        <w:rPr>
          <w:snapToGrid w:val="0"/>
        </w:rPr>
      </w:pPr>
      <w:r w:rsidRPr="00840982">
        <w:rPr>
          <w:snapToGrid w:val="0"/>
        </w:rPr>
        <w:t>Smluvní strany se dohodly na změně obsahu Smlouvy, jak je uvedeno dále v čl. II tohoto Dodatku.</w:t>
      </w:r>
    </w:p>
    <w:p w14:paraId="2210A5C8" w14:textId="77777777" w:rsidR="009874F6" w:rsidRPr="00840982" w:rsidRDefault="009874F6" w:rsidP="009874F6">
      <w:pPr>
        <w:tabs>
          <w:tab w:val="left" w:pos="1134"/>
        </w:tabs>
        <w:spacing w:line="360" w:lineRule="auto"/>
        <w:rPr>
          <w:szCs w:val="24"/>
        </w:rPr>
      </w:pPr>
    </w:p>
    <w:p w14:paraId="73B4A453" w14:textId="77777777" w:rsidR="009874F6" w:rsidRPr="003A06A8" w:rsidRDefault="009874F6" w:rsidP="009874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06A8">
        <w:rPr>
          <w:rFonts w:ascii="Arial" w:hAnsi="Arial" w:cs="Arial"/>
          <w:b/>
          <w:bCs/>
          <w:sz w:val="24"/>
          <w:szCs w:val="24"/>
        </w:rPr>
        <w:t>II.</w:t>
      </w:r>
    </w:p>
    <w:p w14:paraId="7410E69B" w14:textId="77777777" w:rsidR="009874F6" w:rsidRPr="003A06A8" w:rsidRDefault="009874F6" w:rsidP="009874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06A8">
        <w:rPr>
          <w:rFonts w:ascii="Arial" w:hAnsi="Arial" w:cs="Arial"/>
          <w:b/>
          <w:bCs/>
          <w:sz w:val="24"/>
          <w:szCs w:val="24"/>
        </w:rPr>
        <w:t>Předmět dodatku</w:t>
      </w:r>
    </w:p>
    <w:p w14:paraId="476BBC39" w14:textId="77777777" w:rsidR="009874F6" w:rsidRPr="00773AB8" w:rsidRDefault="009874F6" w:rsidP="009874F6">
      <w:pPr>
        <w:numPr>
          <w:ilvl w:val="0"/>
          <w:numId w:val="31"/>
        </w:numPr>
        <w:spacing w:before="120"/>
        <w:ind w:left="357" w:hanging="357"/>
        <w:jc w:val="both"/>
        <w:rPr>
          <w:szCs w:val="24"/>
        </w:rPr>
      </w:pPr>
      <w:r w:rsidRPr="00773AB8">
        <w:rPr>
          <w:szCs w:val="24"/>
        </w:rPr>
        <w:t xml:space="preserve">Dosavadní znění čl. </w:t>
      </w:r>
      <w:r w:rsidRPr="00664F39">
        <w:rPr>
          <w:szCs w:val="24"/>
        </w:rPr>
        <w:t>VIII</w:t>
      </w:r>
      <w:r>
        <w:rPr>
          <w:szCs w:val="24"/>
        </w:rPr>
        <w:t>.</w:t>
      </w:r>
      <w:r w:rsidRPr="00773AB8">
        <w:rPr>
          <w:szCs w:val="24"/>
        </w:rPr>
        <w:t xml:space="preserve"> Smlouvy (Požární ochrana) se ruší a nahrazuje se následujícím zněním: </w:t>
      </w:r>
    </w:p>
    <w:p w14:paraId="0B20B08D" w14:textId="77777777" w:rsidR="009874F6" w:rsidRPr="00773AB8" w:rsidRDefault="009874F6" w:rsidP="009874F6">
      <w:pPr>
        <w:ind w:left="425"/>
        <w:jc w:val="both"/>
        <w:rPr>
          <w:i/>
          <w:szCs w:val="24"/>
        </w:rPr>
      </w:pPr>
      <w:bookmarkStart w:id="0" w:name="_Hlk195173592"/>
      <w:r w:rsidRPr="00664F39">
        <w:rPr>
          <w:i/>
          <w:szCs w:val="24"/>
        </w:rPr>
        <w:t>„Požární ochrana (PO) bude zajišťována v souladu s požadavky platných právních a ostatních předpisů, zejména Zákona České národní rady č. 133/1985 Sb. – Zákon o požární ochraně (Zákon) a Vyhlášky č. 246/2001 Sb. – Vyhláška Ministerstva vnitra o stanovení podmínek požární bezpečnosti a výkonu státního požárního dozoru (vyhláška o požární prevenci) (Vyhláška). Podrobnosti stanoví Příloha č. 1 této smlouvy.</w:t>
      </w:r>
    </w:p>
    <w:p w14:paraId="0021BC89" w14:textId="77777777" w:rsidR="009874F6" w:rsidRPr="00773AB8" w:rsidRDefault="009874F6" w:rsidP="009874F6">
      <w:pPr>
        <w:spacing w:before="60" w:after="120"/>
        <w:ind w:left="425"/>
        <w:jc w:val="both"/>
        <w:rPr>
          <w:i/>
          <w:iCs/>
          <w:szCs w:val="24"/>
        </w:rPr>
      </w:pPr>
      <w:r w:rsidRPr="00773AB8">
        <w:rPr>
          <w:i/>
          <w:szCs w:val="24"/>
        </w:rPr>
        <w:t>Ve věcech PO je kontaktní osobou za pronajímatele specialista BOZP a PO.</w:t>
      </w:r>
      <w:r w:rsidRPr="00773AB8">
        <w:rPr>
          <w:i/>
          <w:iCs/>
          <w:szCs w:val="24"/>
        </w:rPr>
        <w:t>“</w:t>
      </w:r>
      <w:bookmarkEnd w:id="0"/>
    </w:p>
    <w:p w14:paraId="294A86CC" w14:textId="77777777" w:rsidR="009874F6" w:rsidRPr="00664F39" w:rsidRDefault="009874F6" w:rsidP="009874F6">
      <w:pPr>
        <w:numPr>
          <w:ilvl w:val="0"/>
          <w:numId w:val="31"/>
        </w:numPr>
        <w:spacing w:before="60"/>
        <w:ind w:left="357" w:hanging="357"/>
        <w:jc w:val="both"/>
        <w:rPr>
          <w:iCs/>
          <w:szCs w:val="24"/>
        </w:rPr>
      </w:pPr>
      <w:r w:rsidRPr="00664F39">
        <w:rPr>
          <w:szCs w:val="24"/>
        </w:rPr>
        <w:t>Dosavadní znění Přílohy č. 1 Smlouvy (Požární ochrana) se ruší a nahrazuje se novým zněním, které tvoří přílohu tohoto dodatku.</w:t>
      </w:r>
    </w:p>
    <w:p w14:paraId="2B220E56" w14:textId="77777777" w:rsidR="009874F6" w:rsidRPr="00773AB8" w:rsidRDefault="009874F6" w:rsidP="009874F6">
      <w:pPr>
        <w:numPr>
          <w:ilvl w:val="0"/>
          <w:numId w:val="31"/>
        </w:numPr>
        <w:spacing w:before="60"/>
        <w:ind w:left="357" w:hanging="357"/>
        <w:jc w:val="both"/>
        <w:rPr>
          <w:iCs/>
          <w:szCs w:val="24"/>
        </w:rPr>
      </w:pPr>
      <w:r w:rsidRPr="00773AB8">
        <w:rPr>
          <w:iCs/>
          <w:szCs w:val="24"/>
        </w:rPr>
        <w:t>Ostatní ustanovení Smlouvy zůstávají nezměněna.</w:t>
      </w:r>
    </w:p>
    <w:p w14:paraId="548CD361" w14:textId="77777777" w:rsidR="009874F6" w:rsidRPr="00840982" w:rsidRDefault="009874F6" w:rsidP="009874F6">
      <w:pPr>
        <w:tabs>
          <w:tab w:val="left" w:pos="1134"/>
        </w:tabs>
        <w:spacing w:line="360" w:lineRule="auto"/>
        <w:rPr>
          <w:szCs w:val="24"/>
        </w:rPr>
      </w:pPr>
    </w:p>
    <w:p w14:paraId="39961DC9" w14:textId="77777777" w:rsidR="009874F6" w:rsidRPr="003A06A8" w:rsidRDefault="009874F6" w:rsidP="009874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06A8">
        <w:rPr>
          <w:rFonts w:ascii="Arial" w:hAnsi="Arial" w:cs="Arial"/>
          <w:b/>
          <w:bCs/>
          <w:sz w:val="24"/>
          <w:szCs w:val="24"/>
        </w:rPr>
        <w:t>III.</w:t>
      </w:r>
    </w:p>
    <w:p w14:paraId="4F0170ED" w14:textId="77777777" w:rsidR="009874F6" w:rsidRPr="003A06A8" w:rsidRDefault="009874F6" w:rsidP="009874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06A8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055603D3" w14:textId="77777777" w:rsidR="009874F6" w:rsidRPr="00664F39" w:rsidRDefault="009874F6" w:rsidP="009874F6">
      <w:pPr>
        <w:numPr>
          <w:ilvl w:val="0"/>
          <w:numId w:val="33"/>
        </w:numPr>
        <w:spacing w:before="120"/>
        <w:jc w:val="both"/>
        <w:rPr>
          <w:szCs w:val="24"/>
        </w:rPr>
      </w:pPr>
      <w:r w:rsidRPr="00664F39">
        <w:rPr>
          <w:szCs w:val="24"/>
        </w:rPr>
        <w:t xml:space="preserve">Tento dodatek nabývá platnosti a účinnosti dnem podpisu obou smluvních stran. </w:t>
      </w:r>
    </w:p>
    <w:p w14:paraId="4FDD7351" w14:textId="77777777" w:rsidR="009874F6" w:rsidRPr="00664F39" w:rsidRDefault="009874F6" w:rsidP="009874F6">
      <w:pPr>
        <w:numPr>
          <w:ilvl w:val="0"/>
          <w:numId w:val="33"/>
        </w:numPr>
        <w:spacing w:before="60"/>
        <w:ind w:left="357" w:hanging="357"/>
        <w:jc w:val="both"/>
        <w:rPr>
          <w:szCs w:val="24"/>
        </w:rPr>
      </w:pPr>
      <w:r w:rsidRPr="00664F39">
        <w:rPr>
          <w:szCs w:val="24"/>
        </w:rPr>
        <w:t>Smluvní strany si tento dodatek přečetly a na důkaz souhlasu připojují své podpisy.</w:t>
      </w:r>
    </w:p>
    <w:p w14:paraId="7D9DD712" w14:textId="77777777" w:rsidR="009874F6" w:rsidRPr="00664F39" w:rsidRDefault="009874F6" w:rsidP="009874F6">
      <w:pPr>
        <w:numPr>
          <w:ilvl w:val="0"/>
          <w:numId w:val="33"/>
        </w:numPr>
        <w:spacing w:before="60"/>
        <w:ind w:left="357" w:hanging="357"/>
        <w:jc w:val="both"/>
        <w:rPr>
          <w:szCs w:val="24"/>
        </w:rPr>
      </w:pPr>
      <w:r w:rsidRPr="00664F39">
        <w:rPr>
          <w:szCs w:val="24"/>
        </w:rPr>
        <w:t>Tento dodatek je sepsán ve dvou vyhotoveních, z nichž každá ze smluvních stran obdrží po jednom vyhotovení.</w:t>
      </w:r>
    </w:p>
    <w:p w14:paraId="2B50B5EA" w14:textId="77777777" w:rsidR="009874F6" w:rsidRDefault="009874F6" w:rsidP="009874F6">
      <w:pPr>
        <w:tabs>
          <w:tab w:val="left" w:pos="1134"/>
        </w:tabs>
        <w:spacing w:line="360" w:lineRule="auto"/>
        <w:rPr>
          <w:szCs w:val="24"/>
        </w:rPr>
      </w:pPr>
    </w:p>
    <w:p w14:paraId="525FACE5" w14:textId="3E5B6AD8" w:rsidR="009874F6" w:rsidRPr="00B92E82" w:rsidRDefault="009874F6" w:rsidP="009874F6">
      <w:pPr>
        <w:tabs>
          <w:tab w:val="left" w:pos="5529"/>
        </w:tabs>
        <w:rPr>
          <w:snapToGrid w:val="0"/>
          <w:szCs w:val="24"/>
        </w:rPr>
      </w:pPr>
      <w:r w:rsidRPr="00B92E82">
        <w:rPr>
          <w:snapToGrid w:val="0"/>
          <w:szCs w:val="24"/>
        </w:rPr>
        <w:t xml:space="preserve">V Brně dne </w:t>
      </w:r>
      <w:r>
        <w:rPr>
          <w:snapToGrid w:val="0"/>
          <w:szCs w:val="24"/>
        </w:rPr>
        <w:t>18. 4. 2025</w:t>
      </w:r>
      <w:r w:rsidRPr="00B92E82">
        <w:rPr>
          <w:snapToGrid w:val="0"/>
          <w:szCs w:val="24"/>
        </w:rPr>
        <w:tab/>
        <w:t>V Brně dne ..........................</w:t>
      </w:r>
    </w:p>
    <w:p w14:paraId="3B78B3B2" w14:textId="77777777" w:rsidR="009874F6" w:rsidRPr="00AE6F45" w:rsidRDefault="009874F6" w:rsidP="009874F6">
      <w:pPr>
        <w:rPr>
          <w:szCs w:val="24"/>
        </w:rPr>
      </w:pPr>
    </w:p>
    <w:p w14:paraId="209279B9" w14:textId="77777777" w:rsidR="009874F6" w:rsidRDefault="009874F6" w:rsidP="009874F6">
      <w:pPr>
        <w:rPr>
          <w:szCs w:val="24"/>
        </w:rPr>
      </w:pPr>
    </w:p>
    <w:p w14:paraId="2E5481AE" w14:textId="77777777" w:rsidR="009874F6" w:rsidRPr="00AE6F45" w:rsidRDefault="009874F6" w:rsidP="009874F6">
      <w:pPr>
        <w:rPr>
          <w:szCs w:val="24"/>
        </w:rPr>
      </w:pPr>
    </w:p>
    <w:p w14:paraId="7AFFB105" w14:textId="77777777" w:rsidR="009874F6" w:rsidRDefault="009874F6" w:rsidP="009874F6">
      <w:pPr>
        <w:rPr>
          <w:szCs w:val="24"/>
        </w:rPr>
      </w:pPr>
    </w:p>
    <w:p w14:paraId="3E371197" w14:textId="77777777" w:rsidR="009874F6" w:rsidRPr="00AE6F45" w:rsidRDefault="009874F6" w:rsidP="009874F6">
      <w:pPr>
        <w:rPr>
          <w:szCs w:val="24"/>
        </w:rPr>
      </w:pPr>
    </w:p>
    <w:p w14:paraId="5C6DBC47" w14:textId="77777777" w:rsidR="009874F6" w:rsidRPr="00AE6F45" w:rsidRDefault="009874F6" w:rsidP="009874F6">
      <w:pPr>
        <w:tabs>
          <w:tab w:val="center" w:pos="1418"/>
          <w:tab w:val="left" w:pos="5529"/>
          <w:tab w:val="center" w:pos="6804"/>
        </w:tabs>
        <w:rPr>
          <w:szCs w:val="24"/>
        </w:rPr>
      </w:pPr>
      <w:r w:rsidRPr="00AE6F45">
        <w:rPr>
          <w:szCs w:val="24"/>
        </w:rPr>
        <w:t xml:space="preserve">_________________________ </w:t>
      </w:r>
      <w:r w:rsidRPr="00AE6F45">
        <w:rPr>
          <w:szCs w:val="24"/>
        </w:rPr>
        <w:tab/>
        <w:t>_________________________</w:t>
      </w:r>
    </w:p>
    <w:p w14:paraId="78DCDD69" w14:textId="77777777" w:rsidR="009874F6" w:rsidRPr="00387AA2" w:rsidRDefault="009874F6" w:rsidP="009874F6">
      <w:pPr>
        <w:tabs>
          <w:tab w:val="center" w:pos="1418"/>
          <w:tab w:val="center" w:pos="6804"/>
        </w:tabs>
        <w:rPr>
          <w:szCs w:val="24"/>
        </w:rPr>
      </w:pPr>
      <w:r>
        <w:rPr>
          <w:szCs w:val="24"/>
        </w:rPr>
        <w:tab/>
      </w:r>
      <w:r w:rsidRPr="00387AA2">
        <w:rPr>
          <w:szCs w:val="24"/>
        </w:rPr>
        <w:t>Pronajímatel</w:t>
      </w:r>
      <w:r w:rsidRPr="00387AA2">
        <w:rPr>
          <w:szCs w:val="24"/>
        </w:rPr>
        <w:tab/>
        <w:t>Nájemce</w:t>
      </w:r>
    </w:p>
    <w:p w14:paraId="4C26FB62" w14:textId="46A56684" w:rsidR="009874F6" w:rsidRPr="00387AA2" w:rsidRDefault="009874F6" w:rsidP="009874F6">
      <w:pPr>
        <w:tabs>
          <w:tab w:val="center" w:pos="1418"/>
          <w:tab w:val="center" w:pos="6804"/>
        </w:tabs>
        <w:rPr>
          <w:szCs w:val="24"/>
        </w:rPr>
      </w:pPr>
      <w:r>
        <w:rPr>
          <w:szCs w:val="24"/>
        </w:rPr>
        <w:tab/>
      </w:r>
      <w:r w:rsidRPr="00BA3A6B">
        <w:rPr>
          <w:szCs w:val="24"/>
        </w:rPr>
        <w:t xml:space="preserve">Ing. Lukáš </w:t>
      </w:r>
      <w:proofErr w:type="spellStart"/>
      <w:r w:rsidRPr="00BA3A6B">
        <w:rPr>
          <w:szCs w:val="24"/>
        </w:rPr>
        <w:t>Helan</w:t>
      </w:r>
      <w:proofErr w:type="spellEnd"/>
      <w:r w:rsidRPr="00387AA2">
        <w:rPr>
          <w:szCs w:val="24"/>
        </w:rPr>
        <w:t>, prokurista</w:t>
      </w:r>
      <w:r w:rsidRPr="00387AA2">
        <w:rPr>
          <w:szCs w:val="24"/>
        </w:rPr>
        <w:tab/>
      </w:r>
      <w:proofErr w:type="spellStart"/>
      <w:r w:rsidR="00794BD0">
        <w:rPr>
          <w:szCs w:val="24"/>
        </w:rPr>
        <w:t>xxxx</w:t>
      </w:r>
      <w:proofErr w:type="spellEnd"/>
      <w:r>
        <w:rPr>
          <w:szCs w:val="24"/>
        </w:rPr>
        <w:t>, ředitel</w:t>
      </w:r>
    </w:p>
    <w:p w14:paraId="0E86AA5B" w14:textId="426EAB5C" w:rsidR="009874F6" w:rsidRPr="00387AA2" w:rsidRDefault="009874F6" w:rsidP="009874F6">
      <w:pPr>
        <w:tabs>
          <w:tab w:val="center" w:pos="1418"/>
          <w:tab w:val="center" w:pos="6804"/>
        </w:tabs>
        <w:rPr>
          <w:szCs w:val="24"/>
        </w:rPr>
      </w:pPr>
      <w:r>
        <w:rPr>
          <w:szCs w:val="24"/>
        </w:rPr>
        <w:tab/>
      </w:r>
      <w:r w:rsidRPr="00387AA2">
        <w:rPr>
          <w:szCs w:val="24"/>
        </w:rPr>
        <w:t>Ing. Radek Trčka, prokurista</w:t>
      </w:r>
      <w:r>
        <w:rPr>
          <w:szCs w:val="24"/>
        </w:rPr>
        <w:tab/>
      </w:r>
      <w:r w:rsidR="00234E55">
        <w:rPr>
          <w:szCs w:val="24"/>
        </w:rPr>
        <w:t>na základě pověření</w:t>
      </w:r>
    </w:p>
    <w:p w14:paraId="42A69FED" w14:textId="77777777" w:rsidR="009874F6" w:rsidRDefault="009874F6" w:rsidP="009874F6">
      <w:pPr>
        <w:ind w:left="284" w:firstLine="143"/>
        <w:rPr>
          <w:szCs w:val="24"/>
        </w:rPr>
      </w:pPr>
      <w:r>
        <w:rPr>
          <w:szCs w:val="24"/>
        </w:rPr>
        <w:br w:type="page"/>
      </w:r>
    </w:p>
    <w:p w14:paraId="3F34F094" w14:textId="77777777" w:rsidR="008D71CE" w:rsidRPr="00773AB8" w:rsidRDefault="008D71CE" w:rsidP="008D71CE">
      <w:pPr>
        <w:jc w:val="center"/>
        <w:rPr>
          <w:rFonts w:ascii="Arial" w:hAnsi="Arial" w:cs="Arial"/>
          <w:b/>
          <w:sz w:val="28"/>
          <w:szCs w:val="24"/>
        </w:rPr>
      </w:pPr>
      <w:bookmarkStart w:id="1" w:name="_Hlk195173572"/>
      <w:r w:rsidRPr="00AE6F45">
        <w:rPr>
          <w:rFonts w:ascii="Arial" w:hAnsi="Arial" w:cs="Arial"/>
          <w:b/>
          <w:sz w:val="28"/>
          <w:szCs w:val="24"/>
        </w:rPr>
        <w:lastRenderedPageBreak/>
        <w:t>Příloha č. 1 smlouvy o nájmu – Požární ochrana</w:t>
      </w:r>
    </w:p>
    <w:p w14:paraId="6CFE3175" w14:textId="77777777" w:rsidR="008D71CE" w:rsidRPr="00773AB8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rPr>
          <w:b/>
          <w:color w:val="000000"/>
        </w:rPr>
      </w:pPr>
      <w:r w:rsidRPr="00773AB8">
        <w:rPr>
          <w:b/>
          <w:color w:val="000000"/>
        </w:rPr>
        <w:t>Požárně bezpečnostní zařízení (PBZ) a věcné prostředky PO (VPPO)</w:t>
      </w:r>
    </w:p>
    <w:p w14:paraId="6EBC5195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Součást stavby, majetek pronajímatele: Pronajímatel zajišťuje jejich provozuschopnost a seznámí nájemce s jejich fungováním a používáním. Nájemce neprodleně oznámí poruchu, poškození nebo podezření na jejich špatnou funkčnost pronajímateli. Nájemce zajistí, aby zůstaly trvale viditelné a snadno dostupné stejně jako únikové cesty a východy. </w:t>
      </w:r>
    </w:p>
    <w:p w14:paraId="4992B98A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Součásti majetku anebo technologie nájemce: Nájemce zajišťuje jejich provozuschopnost a bezpečný stav. </w:t>
      </w:r>
    </w:p>
    <w:p w14:paraId="1CE4B914" w14:textId="77777777" w:rsidR="008D71CE" w:rsidRPr="00773AB8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rPr>
          <w:b/>
          <w:color w:val="000000"/>
        </w:rPr>
      </w:pPr>
      <w:r w:rsidRPr="00773AB8">
        <w:rPr>
          <w:b/>
          <w:color w:val="000000"/>
        </w:rPr>
        <w:t>Dokumentaci PO vytvářejí, udržují a zaměstnance informují účastníci smluvního vztahu takto</w:t>
      </w:r>
    </w:p>
    <w:p w14:paraId="0D9CF4DB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Dokumentace o začlenění do kategorie činností se zvýšeným požárním nebezpečím (PN) nebo s vysokým PN – Nájemce. Poskytne kopii pronajímateli. </w:t>
      </w:r>
    </w:p>
    <w:p w14:paraId="596A3F10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Posouzení požárního nebezpečí – nepředpokládá se. Pokud ano, nájemce. Projedná s pronajímatelem. </w:t>
      </w:r>
    </w:p>
    <w:p w14:paraId="5C0229EB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Požární řád – při začlenění do kategorie jiné než bez zvýšeného PN, nájemce. Poskytne kopii pronajímateli. </w:t>
      </w:r>
    </w:p>
    <w:p w14:paraId="5A0F05CB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Požární poplachová směrnice – pronajímatel. Poskytne ji a seznámí s ní nájemce. </w:t>
      </w:r>
    </w:p>
    <w:p w14:paraId="0D5E2C65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>Požární evakuační plán – pronajímatel. Umístí jej a seznámí s ním nájemce.</w:t>
      </w:r>
    </w:p>
    <w:p w14:paraId="70D9C487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Dokumentace zdolávání požárů – pronajímatel. </w:t>
      </w:r>
    </w:p>
    <w:p w14:paraId="6D5564D4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Řád ohlašovny požárů – pronajímatel. </w:t>
      </w:r>
    </w:p>
    <w:p w14:paraId="000A078A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>Tematický plán a časový rozvrh školení zaměstnanců a odborné přípravy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– nájemce. </w:t>
      </w:r>
    </w:p>
    <w:p w14:paraId="1BCFE99D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>Dokumentace o provedeném školení zaměstnanců a odborné přípravě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– nájemce. </w:t>
      </w:r>
    </w:p>
    <w:p w14:paraId="1241F385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Požární kniha – nájemce. </w:t>
      </w:r>
    </w:p>
    <w:p w14:paraId="0728015F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Dokumentace o činnosti a akceschopnosti jednotky požární ochrany, popřípadě požární hlídky – netýká se. </w:t>
      </w:r>
    </w:p>
    <w:p w14:paraId="24C95B00" w14:textId="77777777" w:rsidR="008D71CE" w:rsidRPr="00773AB8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 w:rsidRPr="00773AB8">
        <w:rPr>
          <w:color w:val="000000"/>
        </w:rPr>
        <w:t>Nastane-li potřeba specifikovat dokumentaci odlišně od pronajímatele, projednají spolu pronajímatel a nájemce.</w:t>
      </w:r>
    </w:p>
    <w:p w14:paraId="5BB4DF66" w14:textId="77777777" w:rsidR="008D71CE" w:rsidRPr="00773AB8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rPr>
          <w:b/>
          <w:color w:val="000000"/>
        </w:rPr>
      </w:pPr>
      <w:r w:rsidRPr="00773AB8">
        <w:rPr>
          <w:b/>
          <w:color w:val="000000"/>
        </w:rPr>
        <w:t>Informování, školení a odborná příprava</w:t>
      </w:r>
    </w:p>
    <w:p w14:paraId="44EB2213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>Pronajímatel poskytne a seznámí v potřebném rozsahu nájemce s dokumentací PO platnou v celém areálu pronajímatele (zejména Požární poplachová směrnice, Řád ohlašovny požáru, Havarijní plán).</w:t>
      </w:r>
    </w:p>
    <w:p w14:paraId="0B86FA76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Nájemce poskytne školení a odbornou přípravu svým zaměstnancům v potřebném rozsahu. </w:t>
      </w:r>
    </w:p>
    <w:p w14:paraId="54434640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Nájemce informuje pronajímatele o umístění a zacházení s technologiemi, hořlavými a jinak nebezpečnými materiály a o jejich změnách. </w:t>
      </w:r>
    </w:p>
    <w:p w14:paraId="33EAE6BC" w14:textId="77777777" w:rsidR="008D71CE" w:rsidRPr="00BA3A6B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3A6B">
        <w:rPr>
          <w:rFonts w:ascii="Times New Roman" w:hAnsi="Times New Roman" w:cs="Times New Roman"/>
          <w:color w:val="000000"/>
          <w:sz w:val="20"/>
          <w:szCs w:val="20"/>
        </w:rPr>
        <w:t xml:space="preserve">Pronajímatel a nájemce jsou povinni vzájemně se prokazatelně informovat o změnách, které nastanou v době trvání smluvního vztahu a které mohou mít vliv na bezpečnost, ochranu zdraví a PO. </w:t>
      </w:r>
    </w:p>
    <w:p w14:paraId="55A279D6" w14:textId="77777777" w:rsidR="008D71CE" w:rsidRPr="00773AB8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</w:p>
    <w:p w14:paraId="5528E1C7" w14:textId="77777777" w:rsidR="008D71CE" w:rsidRPr="00773AB8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0000"/>
        </w:rPr>
      </w:pPr>
      <w:r w:rsidRPr="00773AB8">
        <w:rPr>
          <w:color w:val="000000"/>
        </w:rPr>
        <w:t xml:space="preserve">Případná další odborná činnost v PO ze strany pronajímatele nájemci je možná, není však předmětem této smlouvy a musí být sjednána samostatně. </w:t>
      </w:r>
    </w:p>
    <w:p w14:paraId="1C6A83BC" w14:textId="77777777" w:rsidR="008D71CE" w:rsidRPr="00773AB8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rPr>
          <w:b/>
          <w:color w:val="000000"/>
        </w:rPr>
      </w:pPr>
      <w:r w:rsidRPr="00773AB8">
        <w:rPr>
          <w:b/>
          <w:color w:val="000000"/>
        </w:rPr>
        <w:t>Ostatní ustanovení</w:t>
      </w:r>
    </w:p>
    <w:p w14:paraId="3D4C811D" w14:textId="77777777" w:rsidR="008D71CE" w:rsidRPr="00773AB8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rPr>
          <w:color w:val="000000"/>
        </w:rPr>
      </w:pPr>
      <w:r w:rsidRPr="00773AB8">
        <w:rPr>
          <w:color w:val="000000"/>
        </w:rPr>
        <w:t xml:space="preserve">Spalování hořlavých materiálů v objektu pronajímatele není dovoleno. </w:t>
      </w:r>
    </w:p>
    <w:p w14:paraId="3B0209C1" w14:textId="77777777" w:rsidR="008D71CE" w:rsidRPr="00773AB8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rPr>
          <w:color w:val="000000"/>
        </w:rPr>
      </w:pPr>
      <w:r w:rsidRPr="00773AB8">
        <w:rPr>
          <w:color w:val="000000"/>
        </w:rPr>
        <w:t xml:space="preserve">Pronajímatel zajistí umístění základních značek/cedulí pro označení únikových cest, únikových východů a PBZ/VPPO. </w:t>
      </w:r>
    </w:p>
    <w:p w14:paraId="583D113F" w14:textId="77777777" w:rsidR="008D71CE" w:rsidRPr="00773AB8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rPr>
          <w:color w:val="000000"/>
        </w:rPr>
      </w:pPr>
      <w:r w:rsidRPr="00773AB8">
        <w:rPr>
          <w:color w:val="000000"/>
        </w:rPr>
        <w:t xml:space="preserve">Nájemce zajišťuje specifické značení na základě svých procesů, rizik a opatření. </w:t>
      </w:r>
    </w:p>
    <w:p w14:paraId="39CB7973" w14:textId="77777777" w:rsidR="008D71CE" w:rsidRPr="00773AB8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rPr>
          <w:color w:val="000000"/>
        </w:rPr>
      </w:pPr>
      <w:r w:rsidRPr="00773AB8">
        <w:rPr>
          <w:color w:val="000000"/>
        </w:rPr>
        <w:t>Nájemce informuje pronajímatele o:</w:t>
      </w:r>
    </w:p>
    <w:p w14:paraId="4DFF0944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Závadách, poruchách (i podezření) a poškození zařízení pronajímatele. </w:t>
      </w:r>
    </w:p>
    <w:p w14:paraId="4C136366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O mimořádných událostech včetně uhašeného požáru. </w:t>
      </w:r>
    </w:p>
    <w:p w14:paraId="1ED916E6" w14:textId="77777777" w:rsidR="008D71CE" w:rsidRPr="00773AB8" w:rsidRDefault="008D71CE" w:rsidP="008D71CE">
      <w:pPr>
        <w:pStyle w:val="Odstavecseseznamem"/>
        <w:numPr>
          <w:ilvl w:val="0"/>
          <w:numId w:val="3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73AB8">
        <w:rPr>
          <w:rFonts w:ascii="Times New Roman" w:hAnsi="Times New Roman" w:cs="Times New Roman"/>
          <w:color w:val="000000"/>
          <w:sz w:val="20"/>
          <w:szCs w:val="20"/>
        </w:rPr>
        <w:t xml:space="preserve">O zamýšlených změnách technologických postupů, činností, uspořádání pracovišť a zařízení svého provozu. </w:t>
      </w:r>
    </w:p>
    <w:p w14:paraId="09503D0A" w14:textId="77777777" w:rsidR="008D71CE" w:rsidRPr="00773AB8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rPr>
          <w:color w:val="000000"/>
        </w:rPr>
      </w:pPr>
      <w:r w:rsidRPr="00773AB8">
        <w:rPr>
          <w:color w:val="000000"/>
        </w:rPr>
        <w:t xml:space="preserve">Kontroly PO provádí v rámci svých povinností nájemce a vede požadované záznamy. O případném nevyhovujícím výsledku a nápravných opatřeních informuje pronajímatele. Je možné a vhodné přizvat ke kontrole zástupce pronajímatele. </w:t>
      </w:r>
    </w:p>
    <w:p w14:paraId="6642670C" w14:textId="77777777" w:rsidR="008D71CE" w:rsidRPr="00773AB8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rPr>
          <w:color w:val="000000"/>
        </w:rPr>
      </w:pPr>
      <w:r w:rsidRPr="00773AB8">
        <w:rPr>
          <w:color w:val="000000"/>
        </w:rPr>
        <w:t xml:space="preserve">Kontroly PO související s majetkem pronajímatele a dodržováním podmínek této smlouvy provádí pronajímatel za účasti nájemce. </w:t>
      </w:r>
    </w:p>
    <w:p w14:paraId="1C781CF7" w14:textId="77777777" w:rsidR="008D71CE" w:rsidRPr="00773AB8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rPr>
          <w:color w:val="000000"/>
        </w:rPr>
      </w:pPr>
      <w:r w:rsidRPr="00773AB8">
        <w:rPr>
          <w:color w:val="000000"/>
        </w:rPr>
        <w:t xml:space="preserve">Nájemce umožní vstup zástupci pronajímatele za účelem kontroly, údržby a oprav zařízení pronajímatele. </w:t>
      </w:r>
    </w:p>
    <w:p w14:paraId="46FBEEE5" w14:textId="77777777" w:rsidR="008D71CE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rPr>
          <w:color w:val="000000"/>
        </w:rPr>
      </w:pPr>
      <w:r w:rsidRPr="00773AB8">
        <w:rPr>
          <w:color w:val="000000"/>
        </w:rPr>
        <w:t>Pronajímatel je oprávněn bez vědomí nájemce a za jeho nepřítomnosti vstoupit do jeho objektu pouze za účelem likvidace požáru/havárie, odstranění poruchy zařízení nebo při ohrožení života a zdraví osob. O takovém vstupu/zásahu informuje pronajímatel nájemce neprodleně.</w:t>
      </w:r>
      <w:bookmarkEnd w:id="1"/>
    </w:p>
    <w:p w14:paraId="4A08A5C0" w14:textId="77777777" w:rsidR="008D71CE" w:rsidRPr="00F65ED2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rPr>
          <w:color w:val="000000"/>
        </w:rPr>
      </w:pPr>
      <w:r w:rsidRPr="00F65ED2">
        <w:rPr>
          <w:color w:val="000000"/>
        </w:rPr>
        <w:t>Nájemci mají zakázáno parkovat s elektromobily a jednostopými vozidly na elektrický pohon ve všech vnitřních prostorách budov v areálu pronajímatele.</w:t>
      </w:r>
    </w:p>
    <w:p w14:paraId="48CB996E" w14:textId="77777777" w:rsidR="008D71CE" w:rsidRPr="00F65ED2" w:rsidRDefault="008D71CE" w:rsidP="008D71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rPr>
          <w:color w:val="000000"/>
        </w:rPr>
      </w:pPr>
      <w:r w:rsidRPr="00F65ED2">
        <w:rPr>
          <w:color w:val="000000"/>
        </w:rPr>
        <w:t>Nabíjení baterií elektromobilů a jednostopých vozidel na elektrický pohon je povoleno POUZE na místech, k tomu určených (oficiální nabíjecí stanice). Zejména je zakázáno nabíjet tyto baterie (i včetně vyjímatelných) z připojovacích prvků (zásuvek) trvale instalovaných (tedy běžné elektrické rozvody – viz čl. V., odst. 1</w:t>
      </w:r>
      <w:r>
        <w:rPr>
          <w:color w:val="000000"/>
        </w:rPr>
        <w:t>.</w:t>
      </w:r>
      <w:r w:rsidRPr="00F65ED2">
        <w:rPr>
          <w:color w:val="000000"/>
        </w:rPr>
        <w:t xml:space="preserve">), písm. </w:t>
      </w:r>
      <w:r>
        <w:rPr>
          <w:color w:val="000000"/>
        </w:rPr>
        <w:t>j)</w:t>
      </w:r>
      <w:r w:rsidRPr="00F65ED2">
        <w:rPr>
          <w:color w:val="000000"/>
        </w:rPr>
        <w:t xml:space="preserve"> této smlouvy) a to jak ve vnitřních prostorách budov, tak i na pozemcích v celém areálu pronajímatele.</w:t>
      </w:r>
    </w:p>
    <w:p w14:paraId="2A421B31" w14:textId="2383DF5A" w:rsidR="0010216D" w:rsidRPr="00C962E8" w:rsidRDefault="0010216D" w:rsidP="009874F6">
      <w:pPr>
        <w:pStyle w:val="nadpis2"/>
        <w:ind w:right="33"/>
        <w:outlineLvl w:val="0"/>
        <w:rPr>
          <w:sz w:val="16"/>
        </w:rPr>
      </w:pPr>
    </w:p>
    <w:sectPr w:rsidR="0010216D" w:rsidRPr="00C962E8" w:rsidSect="00624D79">
      <w:footerReference w:type="even" r:id="rId7"/>
      <w:footerReference w:type="default" r:id="rId8"/>
      <w:pgSz w:w="11906" w:h="16838" w:code="9"/>
      <w:pgMar w:top="567" w:right="794" w:bottom="284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504F4" w14:textId="77777777" w:rsidR="002868F6" w:rsidRDefault="002868F6">
      <w:r>
        <w:separator/>
      </w:r>
    </w:p>
  </w:endnote>
  <w:endnote w:type="continuationSeparator" w:id="0">
    <w:p w14:paraId="0346B8E9" w14:textId="77777777" w:rsidR="002868F6" w:rsidRDefault="0028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20991" w14:textId="77777777" w:rsidR="00FD6AD1" w:rsidRDefault="00FD6A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BB5AAE8" w14:textId="77777777" w:rsidR="00FD6AD1" w:rsidRDefault="00FD6A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8187" w14:textId="77777777" w:rsidR="00FD6AD1" w:rsidRDefault="00FD6AD1">
    <w:pPr>
      <w:pStyle w:val="Zpat"/>
      <w:framePr w:wrap="around" w:vAnchor="text" w:hAnchor="margin" w:xAlign="center" w:y="1"/>
      <w:rPr>
        <w:rStyle w:val="slostrnky"/>
      </w:rPr>
    </w:pPr>
  </w:p>
  <w:p w14:paraId="270ABD0F" w14:textId="77777777" w:rsidR="00FD6AD1" w:rsidRDefault="00FD6AD1" w:rsidP="006E7D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2EFB3" w14:textId="77777777" w:rsidR="002868F6" w:rsidRDefault="002868F6">
      <w:r>
        <w:separator/>
      </w:r>
    </w:p>
  </w:footnote>
  <w:footnote w:type="continuationSeparator" w:id="0">
    <w:p w14:paraId="126C5A9E" w14:textId="77777777" w:rsidR="002868F6" w:rsidRDefault="0028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5F7"/>
    <w:multiLevelType w:val="multilevel"/>
    <w:tmpl w:val="5142B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862E13"/>
    <w:multiLevelType w:val="multilevel"/>
    <w:tmpl w:val="923A58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437241"/>
    <w:multiLevelType w:val="singleLevel"/>
    <w:tmpl w:val="0EB0F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" w15:restartNumberingAfterBreak="0">
    <w:nsid w:val="11964F7F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E946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30149"/>
    <w:multiLevelType w:val="singleLevel"/>
    <w:tmpl w:val="B71C5B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1DF85EB8"/>
    <w:multiLevelType w:val="hybridMultilevel"/>
    <w:tmpl w:val="F0F45254"/>
    <w:lvl w:ilvl="0" w:tplc="BB5434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7415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4530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BDE301B"/>
    <w:multiLevelType w:val="singleLevel"/>
    <w:tmpl w:val="6E260D68"/>
    <w:lvl w:ilvl="0">
      <w:start w:val="1"/>
      <w:numFmt w:val="lowerLetter"/>
      <w:pStyle w:val="psmenodk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 w15:restartNumberingAfterBreak="0">
    <w:nsid w:val="2E3146E3"/>
    <w:multiLevelType w:val="hybridMultilevel"/>
    <w:tmpl w:val="EA8213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655B8"/>
    <w:multiLevelType w:val="singleLevel"/>
    <w:tmpl w:val="B71C5B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389A20F9"/>
    <w:multiLevelType w:val="singleLevel"/>
    <w:tmpl w:val="0EB0F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 w15:restartNumberingAfterBreak="0">
    <w:nsid w:val="417F5820"/>
    <w:multiLevelType w:val="hybridMultilevel"/>
    <w:tmpl w:val="22C43F32"/>
    <w:lvl w:ilvl="0" w:tplc="03D66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1BC48C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F4B0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8E66920"/>
    <w:multiLevelType w:val="multilevel"/>
    <w:tmpl w:val="678AB2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9D3E57"/>
    <w:multiLevelType w:val="singleLevel"/>
    <w:tmpl w:val="B71C5B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4BF82F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C436DCF"/>
    <w:multiLevelType w:val="hybridMultilevel"/>
    <w:tmpl w:val="F7CCE896"/>
    <w:lvl w:ilvl="0" w:tplc="4BB6F200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84F8C"/>
    <w:multiLevelType w:val="singleLevel"/>
    <w:tmpl w:val="0EB0F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0" w15:restartNumberingAfterBreak="0">
    <w:nsid w:val="5AF11EA6"/>
    <w:multiLevelType w:val="multilevel"/>
    <w:tmpl w:val="678AB2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7257BC"/>
    <w:multiLevelType w:val="multilevel"/>
    <w:tmpl w:val="407C52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AF4C6B"/>
    <w:multiLevelType w:val="singleLevel"/>
    <w:tmpl w:val="0EB0F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3" w15:restartNumberingAfterBreak="0">
    <w:nsid w:val="5E5D6EE9"/>
    <w:multiLevelType w:val="multilevel"/>
    <w:tmpl w:val="B9581E0C"/>
    <w:lvl w:ilvl="0">
      <w:start w:val="1"/>
      <w:numFmt w:val="bullet"/>
      <w:lvlText w:val=""/>
      <w:lvlJc w:val="left"/>
      <w:pPr>
        <w:tabs>
          <w:tab w:val="num" w:pos="17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3186349"/>
    <w:multiLevelType w:val="singleLevel"/>
    <w:tmpl w:val="BB543440"/>
    <w:lvl w:ilvl="0">
      <w:numFmt w:val="bullet"/>
      <w:lvlText w:val="-"/>
      <w:lvlJc w:val="left"/>
      <w:pPr>
        <w:tabs>
          <w:tab w:val="num" w:pos="1134"/>
        </w:tabs>
        <w:ind w:left="1134" w:hanging="377"/>
      </w:pPr>
      <w:rPr>
        <w:rFonts w:hint="default"/>
      </w:rPr>
    </w:lvl>
  </w:abstractNum>
  <w:abstractNum w:abstractNumId="25" w15:restartNumberingAfterBreak="0">
    <w:nsid w:val="64A71A98"/>
    <w:multiLevelType w:val="multilevel"/>
    <w:tmpl w:val="57B66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DD96CCC"/>
    <w:multiLevelType w:val="singleLevel"/>
    <w:tmpl w:val="1D081E80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7" w15:restartNumberingAfterBreak="0">
    <w:nsid w:val="6E38374F"/>
    <w:multiLevelType w:val="singleLevel"/>
    <w:tmpl w:val="EDEE8AE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0"/>
      </w:rPr>
    </w:lvl>
  </w:abstractNum>
  <w:abstractNum w:abstractNumId="28" w15:restartNumberingAfterBreak="0">
    <w:nsid w:val="6FC93D17"/>
    <w:multiLevelType w:val="singleLevel"/>
    <w:tmpl w:val="0EB0F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9" w15:restartNumberingAfterBreak="0">
    <w:nsid w:val="72E172EC"/>
    <w:multiLevelType w:val="singleLevel"/>
    <w:tmpl w:val="BB543440"/>
    <w:lvl w:ilvl="0">
      <w:numFmt w:val="bullet"/>
      <w:lvlText w:val="-"/>
      <w:lvlJc w:val="left"/>
      <w:pPr>
        <w:tabs>
          <w:tab w:val="num" w:pos="1134"/>
        </w:tabs>
        <w:ind w:left="1134" w:hanging="377"/>
      </w:pPr>
      <w:rPr>
        <w:rFonts w:hint="default"/>
      </w:rPr>
    </w:lvl>
  </w:abstractNum>
  <w:abstractNum w:abstractNumId="30" w15:restartNumberingAfterBreak="0">
    <w:nsid w:val="7AB303E2"/>
    <w:multiLevelType w:val="singleLevel"/>
    <w:tmpl w:val="0405000F"/>
    <w:lvl w:ilvl="0">
      <w:start w:val="1"/>
      <w:numFmt w:val="decimal"/>
      <w:pStyle w:val="Nadpis9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5400160">
    <w:abstractNumId w:val="7"/>
  </w:num>
  <w:num w:numId="2" w16cid:durableId="981540151">
    <w:abstractNumId w:val="2"/>
  </w:num>
  <w:num w:numId="3" w16cid:durableId="1410424284">
    <w:abstractNumId w:val="22"/>
  </w:num>
  <w:num w:numId="4" w16cid:durableId="407927909">
    <w:abstractNumId w:val="12"/>
  </w:num>
  <w:num w:numId="5" w16cid:durableId="1532919616">
    <w:abstractNumId w:val="9"/>
  </w:num>
  <w:num w:numId="6" w16cid:durableId="336998875">
    <w:abstractNumId w:val="17"/>
  </w:num>
  <w:num w:numId="7" w16cid:durableId="328287475">
    <w:abstractNumId w:val="28"/>
  </w:num>
  <w:num w:numId="8" w16cid:durableId="194198247">
    <w:abstractNumId w:val="19"/>
  </w:num>
  <w:num w:numId="9" w16cid:durableId="1386022117">
    <w:abstractNumId w:val="14"/>
  </w:num>
  <w:num w:numId="10" w16cid:durableId="1056780589">
    <w:abstractNumId w:val="9"/>
  </w:num>
  <w:num w:numId="11" w16cid:durableId="1806704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5773999">
    <w:abstractNumId w:val="3"/>
  </w:num>
  <w:num w:numId="13" w16cid:durableId="1631787937">
    <w:abstractNumId w:val="26"/>
  </w:num>
  <w:num w:numId="14" w16cid:durableId="470559841">
    <w:abstractNumId w:val="8"/>
  </w:num>
  <w:num w:numId="15" w16cid:durableId="237057329">
    <w:abstractNumId w:val="30"/>
  </w:num>
  <w:num w:numId="16" w16cid:durableId="820583001">
    <w:abstractNumId w:val="27"/>
  </w:num>
  <w:num w:numId="17" w16cid:durableId="761025473">
    <w:abstractNumId w:val="9"/>
  </w:num>
  <w:num w:numId="18" w16cid:durableId="532157804">
    <w:abstractNumId w:val="4"/>
  </w:num>
  <w:num w:numId="19" w16cid:durableId="1380086091">
    <w:abstractNumId w:val="16"/>
  </w:num>
  <w:num w:numId="20" w16cid:durableId="1203205026">
    <w:abstractNumId w:val="24"/>
  </w:num>
  <w:num w:numId="21" w16cid:durableId="762412297">
    <w:abstractNumId w:val="5"/>
  </w:num>
  <w:num w:numId="22" w16cid:durableId="2143618017">
    <w:abstractNumId w:val="29"/>
  </w:num>
  <w:num w:numId="23" w16cid:durableId="166872942">
    <w:abstractNumId w:val="11"/>
  </w:num>
  <w:num w:numId="24" w16cid:durableId="2076658759">
    <w:abstractNumId w:val="25"/>
  </w:num>
  <w:num w:numId="25" w16cid:durableId="1853185853">
    <w:abstractNumId w:val="0"/>
  </w:num>
  <w:num w:numId="26" w16cid:durableId="728921703">
    <w:abstractNumId w:val="23"/>
  </w:num>
  <w:num w:numId="27" w16cid:durableId="554197556">
    <w:abstractNumId w:val="10"/>
  </w:num>
  <w:num w:numId="28" w16cid:durableId="525289831">
    <w:abstractNumId w:val="13"/>
  </w:num>
  <w:num w:numId="29" w16cid:durableId="467015565">
    <w:abstractNumId w:val="18"/>
  </w:num>
  <w:num w:numId="30" w16cid:durableId="719137034">
    <w:abstractNumId w:val="20"/>
  </w:num>
  <w:num w:numId="31" w16cid:durableId="386150347">
    <w:abstractNumId w:val="15"/>
  </w:num>
  <w:num w:numId="32" w16cid:durableId="1575899082">
    <w:abstractNumId w:val="6"/>
  </w:num>
  <w:num w:numId="33" w16cid:durableId="65675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ED"/>
    <w:rsid w:val="0000637B"/>
    <w:rsid w:val="00023266"/>
    <w:rsid w:val="000458ED"/>
    <w:rsid w:val="000752C5"/>
    <w:rsid w:val="0010216D"/>
    <w:rsid w:val="001042F9"/>
    <w:rsid w:val="00105D80"/>
    <w:rsid w:val="0014256C"/>
    <w:rsid w:val="001544BB"/>
    <w:rsid w:val="001604C2"/>
    <w:rsid w:val="00162D49"/>
    <w:rsid w:val="001A4D17"/>
    <w:rsid w:val="001B3961"/>
    <w:rsid w:val="001B5D18"/>
    <w:rsid w:val="00211530"/>
    <w:rsid w:val="002260AD"/>
    <w:rsid w:val="00234E55"/>
    <w:rsid w:val="0026486C"/>
    <w:rsid w:val="002868F6"/>
    <w:rsid w:val="002A6CB0"/>
    <w:rsid w:val="002B11F5"/>
    <w:rsid w:val="002B5FD0"/>
    <w:rsid w:val="002E7852"/>
    <w:rsid w:val="003011F4"/>
    <w:rsid w:val="00325E6A"/>
    <w:rsid w:val="00330E38"/>
    <w:rsid w:val="00346689"/>
    <w:rsid w:val="00361779"/>
    <w:rsid w:val="0036367F"/>
    <w:rsid w:val="00372F2F"/>
    <w:rsid w:val="003B5C56"/>
    <w:rsid w:val="00402264"/>
    <w:rsid w:val="00405847"/>
    <w:rsid w:val="00407C0E"/>
    <w:rsid w:val="00410F67"/>
    <w:rsid w:val="00421FA6"/>
    <w:rsid w:val="00442A23"/>
    <w:rsid w:val="00445DEB"/>
    <w:rsid w:val="004633DE"/>
    <w:rsid w:val="00477693"/>
    <w:rsid w:val="00492758"/>
    <w:rsid w:val="004B71B8"/>
    <w:rsid w:val="00502CB9"/>
    <w:rsid w:val="005143D6"/>
    <w:rsid w:val="00515B37"/>
    <w:rsid w:val="00521486"/>
    <w:rsid w:val="00524674"/>
    <w:rsid w:val="005605EA"/>
    <w:rsid w:val="0056265A"/>
    <w:rsid w:val="005A2944"/>
    <w:rsid w:val="005B2958"/>
    <w:rsid w:val="005C5355"/>
    <w:rsid w:val="006106A9"/>
    <w:rsid w:val="00624D79"/>
    <w:rsid w:val="0064441B"/>
    <w:rsid w:val="006B58E6"/>
    <w:rsid w:val="006E7DBF"/>
    <w:rsid w:val="007060FF"/>
    <w:rsid w:val="00745AA6"/>
    <w:rsid w:val="00763771"/>
    <w:rsid w:val="007704DE"/>
    <w:rsid w:val="00777078"/>
    <w:rsid w:val="00787040"/>
    <w:rsid w:val="00794BD0"/>
    <w:rsid w:val="00795FB3"/>
    <w:rsid w:val="007A032D"/>
    <w:rsid w:val="007C59BC"/>
    <w:rsid w:val="007D78B9"/>
    <w:rsid w:val="007E62CA"/>
    <w:rsid w:val="007E742B"/>
    <w:rsid w:val="007F384D"/>
    <w:rsid w:val="00833B80"/>
    <w:rsid w:val="00877DDD"/>
    <w:rsid w:val="00890F71"/>
    <w:rsid w:val="008A2F54"/>
    <w:rsid w:val="008B0C7F"/>
    <w:rsid w:val="008D71CE"/>
    <w:rsid w:val="008E1E69"/>
    <w:rsid w:val="00945BE2"/>
    <w:rsid w:val="009778EE"/>
    <w:rsid w:val="00981997"/>
    <w:rsid w:val="009874F6"/>
    <w:rsid w:val="00995757"/>
    <w:rsid w:val="009D371D"/>
    <w:rsid w:val="009D7157"/>
    <w:rsid w:val="00A16E6D"/>
    <w:rsid w:val="00A23317"/>
    <w:rsid w:val="00A35595"/>
    <w:rsid w:val="00A4597D"/>
    <w:rsid w:val="00A5462A"/>
    <w:rsid w:val="00A60A63"/>
    <w:rsid w:val="00A701FF"/>
    <w:rsid w:val="00A732E6"/>
    <w:rsid w:val="00A76F18"/>
    <w:rsid w:val="00A8065C"/>
    <w:rsid w:val="00A81B21"/>
    <w:rsid w:val="00AD598D"/>
    <w:rsid w:val="00AE422A"/>
    <w:rsid w:val="00B17517"/>
    <w:rsid w:val="00B535BA"/>
    <w:rsid w:val="00B91497"/>
    <w:rsid w:val="00B9698D"/>
    <w:rsid w:val="00BA3A6B"/>
    <w:rsid w:val="00BA6EDA"/>
    <w:rsid w:val="00BC2DF0"/>
    <w:rsid w:val="00BD7601"/>
    <w:rsid w:val="00BF5DF9"/>
    <w:rsid w:val="00C14112"/>
    <w:rsid w:val="00C34D15"/>
    <w:rsid w:val="00C962E8"/>
    <w:rsid w:val="00CA23ED"/>
    <w:rsid w:val="00CE3933"/>
    <w:rsid w:val="00CE3CC0"/>
    <w:rsid w:val="00D6508D"/>
    <w:rsid w:val="00D872AB"/>
    <w:rsid w:val="00DB61B7"/>
    <w:rsid w:val="00DC124D"/>
    <w:rsid w:val="00DE2C30"/>
    <w:rsid w:val="00E172AD"/>
    <w:rsid w:val="00E2172B"/>
    <w:rsid w:val="00E352C2"/>
    <w:rsid w:val="00E5547E"/>
    <w:rsid w:val="00E838E4"/>
    <w:rsid w:val="00E947DF"/>
    <w:rsid w:val="00EC5BD4"/>
    <w:rsid w:val="00ED3FED"/>
    <w:rsid w:val="00F3032E"/>
    <w:rsid w:val="00F44407"/>
    <w:rsid w:val="00F74A20"/>
    <w:rsid w:val="00F80852"/>
    <w:rsid w:val="00FA5795"/>
    <w:rsid w:val="00FB101B"/>
    <w:rsid w:val="00FB7E85"/>
    <w:rsid w:val="00FD6AD1"/>
    <w:rsid w:val="00FE4476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3E49B11"/>
  <w15:chartTrackingRefBased/>
  <w15:docId w15:val="{ABDA2ADA-F9E2-4D9C-AF1E-F6095063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5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5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5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link w:val="nadpis1Char"/>
    <w:pPr>
      <w:widowControl w:val="0"/>
      <w:jc w:val="center"/>
    </w:pPr>
    <w:rPr>
      <w:rFonts w:ascii="Arial" w:hAnsi="Arial"/>
      <w:b/>
      <w:snapToGrid w:val="0"/>
      <w:color w:val="000000"/>
      <w:sz w:val="28"/>
    </w:rPr>
  </w:style>
  <w:style w:type="paragraph" w:customStyle="1" w:styleId="nadpis2">
    <w:name w:val="nadpis2"/>
    <w:link w:val="nadpis2Char"/>
    <w:pPr>
      <w:spacing w:before="120" w:line="160" w:lineRule="exact"/>
      <w:ind w:right="227"/>
      <w:jc w:val="center"/>
    </w:pPr>
    <w:rPr>
      <w:rFonts w:ascii="Arial" w:hAnsi="Arial"/>
      <w:b/>
      <w:snapToGrid w:val="0"/>
      <w:color w:val="000000"/>
      <w:sz w:val="24"/>
    </w:rPr>
  </w:style>
  <w:style w:type="paragraph" w:customStyle="1" w:styleId="Odstavec1">
    <w:name w:val="Odstavec 1"/>
    <w:pPr>
      <w:spacing w:before="120"/>
      <w:ind w:right="33" w:firstLine="285"/>
      <w:jc w:val="both"/>
    </w:pPr>
    <w:rPr>
      <w:snapToGrid w:val="0"/>
      <w:color w:val="000000"/>
    </w:rPr>
  </w:style>
  <w:style w:type="paragraph" w:customStyle="1" w:styleId="Odstavec2">
    <w:name w:val="Odstavec 2"/>
    <w:pPr>
      <w:widowControl w:val="0"/>
      <w:ind w:firstLine="283"/>
      <w:jc w:val="both"/>
    </w:pPr>
    <w:rPr>
      <w:snapToGrid w:val="0"/>
      <w:color w:val="000000"/>
    </w:rPr>
  </w:style>
  <w:style w:type="paragraph" w:customStyle="1" w:styleId="sloseznamu">
    <w:name w:val="Číslo seznamu"/>
    <w:pPr>
      <w:widowControl w:val="0"/>
      <w:ind w:left="770"/>
    </w:pPr>
    <w:rPr>
      <w:snapToGrid w:val="0"/>
      <w:color w:val="000000"/>
    </w:rPr>
  </w:style>
  <w:style w:type="paragraph" w:customStyle="1" w:styleId="slodka">
    <w:name w:val="číslo) řádka"/>
    <w:pPr>
      <w:widowControl w:val="0"/>
      <w:ind w:left="770"/>
      <w:jc w:val="both"/>
    </w:pPr>
    <w:rPr>
      <w:snapToGrid w:val="0"/>
      <w:color w:val="000000"/>
    </w:rPr>
  </w:style>
  <w:style w:type="paragraph" w:customStyle="1" w:styleId="psmenodk">
    <w:name w:val="písmeno) řádk"/>
    <w:pPr>
      <w:numPr>
        <w:numId w:val="17"/>
      </w:numPr>
      <w:spacing w:before="60"/>
      <w:ind w:right="34"/>
      <w:jc w:val="both"/>
    </w:pPr>
    <w:rPr>
      <w:snapToGrid w:val="0"/>
      <w:color w:val="000000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Podpisovdka">
    <w:name w:val="Podpisová řádka"/>
    <w:basedOn w:val="Zkladntext"/>
    <w:pPr>
      <w:tabs>
        <w:tab w:val="center" w:pos="1977"/>
        <w:tab w:val="center" w:pos="7695"/>
      </w:tabs>
      <w:spacing w:after="0"/>
    </w:pPr>
    <w:rPr>
      <w:snapToGrid w:val="0"/>
      <w:color w:val="000000"/>
    </w:r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before="113" w:after="113"/>
    </w:pPr>
    <w:rPr>
      <w:color w:val="FF0000"/>
    </w:rPr>
  </w:style>
  <w:style w:type="paragraph" w:styleId="Zkladntextodsazen">
    <w:name w:val="Body Text Indent"/>
    <w:basedOn w:val="Normln"/>
    <w:pPr>
      <w:spacing w:line="240" w:lineRule="atLeast"/>
      <w:ind w:left="23"/>
    </w:pPr>
    <w:rPr>
      <w:snapToGrid w:val="0"/>
      <w:color w:val="000000"/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9275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14256C"/>
    <w:rPr>
      <w:b/>
      <w:bCs/>
    </w:rPr>
  </w:style>
  <w:style w:type="paragraph" w:styleId="Seznam">
    <w:name w:val="List"/>
    <w:basedOn w:val="Normln"/>
    <w:rsid w:val="00C962E8"/>
    <w:pPr>
      <w:ind w:left="283" w:hanging="283"/>
    </w:pPr>
    <w:rPr>
      <w:sz w:val="24"/>
    </w:rPr>
  </w:style>
  <w:style w:type="character" w:styleId="Hypertextovodkaz">
    <w:name w:val="Hyperlink"/>
    <w:basedOn w:val="Standardnpsmoodstavce"/>
    <w:rsid w:val="0026486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486C"/>
    <w:rPr>
      <w:color w:val="605E5C"/>
      <w:shd w:val="clear" w:color="auto" w:fill="E1DFDD"/>
    </w:rPr>
  </w:style>
  <w:style w:type="character" w:customStyle="1" w:styleId="nadpis2Char">
    <w:name w:val="nadpis2 Char"/>
    <w:link w:val="nadpis2"/>
    <w:rsid w:val="00442A23"/>
    <w:rPr>
      <w:rFonts w:ascii="Arial" w:hAnsi="Arial"/>
      <w:b/>
      <w:snapToGrid w:val="0"/>
      <w:color w:val="000000"/>
      <w:sz w:val="24"/>
    </w:rPr>
  </w:style>
  <w:style w:type="character" w:customStyle="1" w:styleId="nadpis1Char">
    <w:name w:val="nadpis1 Char"/>
    <w:link w:val="nadpis10"/>
    <w:rsid w:val="00442A23"/>
    <w:rPr>
      <w:rFonts w:ascii="Arial" w:hAnsi="Arial"/>
      <w:b/>
      <w:snapToGrid w:val="0"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9874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6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97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60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09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7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1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9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8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spolecne\Office%20&#352;ablony\&#164;Smlouva%20o%20n&#225;jmu%20202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¤Smlouva o nájmu 2022</Template>
  <TotalTime>13</TotalTime>
  <Pages>2</Pages>
  <Words>933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 a nájmu pozemků</vt:lpstr>
    </vt:vector>
  </TitlesOfParts>
  <Company>BVV a.s.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a nájmu pozemků</dc:title>
  <dc:subject/>
  <dc:creator>Tomáš Pospíšil</dc:creator>
  <cp:keywords/>
  <dc:description/>
  <cp:lastModifiedBy>Autor</cp:lastModifiedBy>
  <cp:revision>4</cp:revision>
  <cp:lastPrinted>1899-12-31T23:00:00Z</cp:lastPrinted>
  <dcterms:created xsi:type="dcterms:W3CDTF">2025-05-26T13:57:00Z</dcterms:created>
  <dcterms:modified xsi:type="dcterms:W3CDTF">2025-05-27T05:47:00Z</dcterms:modified>
</cp:coreProperties>
</file>