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A70C" w14:textId="77777777" w:rsidR="00713E10" w:rsidRPr="00C61632" w:rsidRDefault="00713E10" w:rsidP="00713E10">
      <w:pPr>
        <w:jc w:val="center"/>
        <w:rPr>
          <w:b/>
          <w:bCs/>
          <w:i/>
          <w:iCs/>
          <w:sz w:val="24"/>
          <w:szCs w:val="24"/>
        </w:rPr>
      </w:pPr>
      <w:r w:rsidRPr="00C61632">
        <w:rPr>
          <w:b/>
          <w:bCs/>
          <w:i/>
          <w:iCs/>
          <w:sz w:val="24"/>
          <w:szCs w:val="24"/>
        </w:rPr>
        <w:t>SMLOUVA O DÍLO</w:t>
      </w:r>
    </w:p>
    <w:p w14:paraId="392155FF" w14:textId="77777777" w:rsidR="00713E10" w:rsidRPr="00C61632" w:rsidRDefault="00713E10" w:rsidP="00713E10">
      <w:pPr>
        <w:jc w:val="center"/>
        <w:rPr>
          <w:b/>
          <w:bCs/>
          <w:sz w:val="24"/>
          <w:szCs w:val="24"/>
        </w:rPr>
      </w:pPr>
      <w:r w:rsidRPr="00C61632">
        <w:rPr>
          <w:b/>
          <w:bCs/>
          <w:sz w:val="24"/>
          <w:szCs w:val="24"/>
        </w:rPr>
        <w:t>Číslo: 202501</w:t>
      </w:r>
    </w:p>
    <w:p w14:paraId="4EECDAEC" w14:textId="77777777" w:rsidR="00713E10" w:rsidRDefault="00713E10" w:rsidP="00713E10">
      <w:pPr>
        <w:jc w:val="center"/>
        <w:rPr>
          <w:sz w:val="24"/>
          <w:szCs w:val="24"/>
        </w:rPr>
      </w:pPr>
      <w:r>
        <w:rPr>
          <w:i/>
          <w:iCs/>
          <w:sz w:val="24"/>
          <w:szCs w:val="24"/>
        </w:rPr>
        <w:t>Uzavřená v souladu s občanským zákoníkem.</w:t>
      </w:r>
    </w:p>
    <w:p w14:paraId="6F976DEB" w14:textId="77777777" w:rsidR="00713E10" w:rsidRPr="00BB0272" w:rsidRDefault="00713E10" w:rsidP="00713E10">
      <w:pPr>
        <w:pStyle w:val="Odstavecseseznamem"/>
        <w:numPr>
          <w:ilvl w:val="0"/>
          <w:numId w:val="10"/>
        </w:numPr>
        <w:spacing w:before="240"/>
        <w:ind w:left="567" w:hanging="283"/>
        <w:jc w:val="center"/>
        <w:rPr>
          <w:b/>
          <w:bCs/>
          <w:sz w:val="24"/>
          <w:szCs w:val="24"/>
        </w:rPr>
      </w:pPr>
      <w:r w:rsidRPr="00BB0272">
        <w:rPr>
          <w:b/>
          <w:bCs/>
          <w:sz w:val="24"/>
          <w:szCs w:val="24"/>
        </w:rPr>
        <w:t>Smluvní strany</w:t>
      </w:r>
    </w:p>
    <w:p w14:paraId="1F60B693" w14:textId="77777777" w:rsidR="00713E10" w:rsidRPr="0014011F" w:rsidRDefault="00713E10" w:rsidP="00713E10">
      <w:pPr>
        <w:pStyle w:val="Odstavecseseznamem"/>
        <w:numPr>
          <w:ilvl w:val="1"/>
          <w:numId w:val="10"/>
        </w:numPr>
        <w:spacing w:before="240"/>
        <w:ind w:left="284" w:hanging="284"/>
        <w:rPr>
          <w:caps/>
          <w:sz w:val="24"/>
          <w:szCs w:val="24"/>
        </w:rPr>
      </w:pPr>
      <w:r w:rsidRPr="0014011F">
        <w:rPr>
          <w:i/>
          <w:iCs/>
          <w:caps/>
          <w:sz w:val="24"/>
          <w:szCs w:val="24"/>
        </w:rPr>
        <w:t>Zhotovitel</w:t>
      </w:r>
      <w:r>
        <w:rPr>
          <w:i/>
          <w:iCs/>
          <w:caps/>
          <w:sz w:val="24"/>
          <w:szCs w:val="24"/>
        </w:rPr>
        <w:t>:</w:t>
      </w:r>
    </w:p>
    <w:p w14:paraId="5C48F5F3" w14:textId="77777777" w:rsidR="00713E10" w:rsidRPr="0014011F" w:rsidRDefault="00713E10" w:rsidP="00713E10">
      <w:pPr>
        <w:pStyle w:val="Odstavecseseznamem"/>
        <w:spacing w:before="240"/>
        <w:ind w:left="993"/>
        <w:rPr>
          <w:sz w:val="24"/>
          <w:szCs w:val="24"/>
        </w:rPr>
      </w:pPr>
      <w:r w:rsidRPr="0014011F">
        <w:rPr>
          <w:sz w:val="24"/>
          <w:szCs w:val="24"/>
        </w:rPr>
        <w:t>Fipeko s.r.o.</w:t>
      </w:r>
    </w:p>
    <w:p w14:paraId="76104F3B" w14:textId="77777777" w:rsidR="00713E10" w:rsidRDefault="00713E10" w:rsidP="00713E10">
      <w:pPr>
        <w:pStyle w:val="Odstavecseseznamem"/>
        <w:spacing w:before="240"/>
        <w:ind w:left="993"/>
        <w:rPr>
          <w:sz w:val="24"/>
          <w:szCs w:val="24"/>
        </w:rPr>
      </w:pPr>
      <w:r>
        <w:rPr>
          <w:sz w:val="24"/>
          <w:szCs w:val="24"/>
        </w:rPr>
        <w:t>Větrná 1048/18, Odry 742 35</w:t>
      </w:r>
    </w:p>
    <w:p w14:paraId="6ABC701C" w14:textId="77777777" w:rsidR="00713E10" w:rsidRDefault="00713E10" w:rsidP="00713E10">
      <w:pPr>
        <w:pStyle w:val="Odstavecseseznamem"/>
        <w:spacing w:before="240"/>
        <w:ind w:left="993"/>
        <w:rPr>
          <w:sz w:val="24"/>
          <w:szCs w:val="24"/>
        </w:rPr>
      </w:pPr>
      <w:r>
        <w:rPr>
          <w:sz w:val="24"/>
          <w:szCs w:val="24"/>
        </w:rPr>
        <w:t>IČ: 06267653</w:t>
      </w:r>
    </w:p>
    <w:p w14:paraId="5A25CEBE" w14:textId="77777777" w:rsidR="00713E10" w:rsidRDefault="00713E10" w:rsidP="00713E10">
      <w:pPr>
        <w:pStyle w:val="Odstavecseseznamem"/>
        <w:spacing w:before="240"/>
        <w:ind w:left="993"/>
        <w:rPr>
          <w:sz w:val="24"/>
          <w:szCs w:val="24"/>
        </w:rPr>
      </w:pPr>
      <w:r>
        <w:rPr>
          <w:sz w:val="24"/>
          <w:szCs w:val="24"/>
        </w:rPr>
        <w:t>DIČ: CZ06267653</w:t>
      </w:r>
    </w:p>
    <w:p w14:paraId="7779306D" w14:textId="77777777" w:rsidR="00713E10" w:rsidRDefault="00713E10" w:rsidP="00713E10">
      <w:pPr>
        <w:pStyle w:val="Odstavecseseznamem"/>
        <w:spacing w:before="240"/>
        <w:ind w:left="993"/>
        <w:rPr>
          <w:sz w:val="24"/>
          <w:szCs w:val="24"/>
        </w:rPr>
      </w:pPr>
      <w:r>
        <w:rPr>
          <w:sz w:val="24"/>
          <w:szCs w:val="24"/>
        </w:rPr>
        <w:t>Zastoupená Jindřichem Koudelným, jednatelem</w:t>
      </w:r>
    </w:p>
    <w:p w14:paraId="7F43CAE4" w14:textId="77777777" w:rsidR="00713E10" w:rsidRDefault="00713E10" w:rsidP="00713E10">
      <w:pPr>
        <w:pStyle w:val="Odstavecseseznamem"/>
        <w:spacing w:before="240"/>
        <w:ind w:left="993"/>
        <w:rPr>
          <w:sz w:val="24"/>
          <w:szCs w:val="24"/>
        </w:rPr>
      </w:pPr>
      <w:r>
        <w:rPr>
          <w:sz w:val="24"/>
          <w:szCs w:val="24"/>
        </w:rPr>
        <w:t>Zapsaná v ve veřejném rejstříku u Krajské</w:t>
      </w:r>
      <w:r w:rsidRPr="0014011F">
        <w:rPr>
          <w:sz w:val="24"/>
          <w:szCs w:val="24"/>
        </w:rPr>
        <w:t>ho soudu v Ostravě, oddíl C, vložka 84862</w:t>
      </w:r>
    </w:p>
    <w:p w14:paraId="66CB926C" w14:textId="77777777" w:rsidR="00713E10" w:rsidRPr="00713E10" w:rsidRDefault="00713E10" w:rsidP="00713E10">
      <w:pPr>
        <w:pStyle w:val="Odstavecseseznamem"/>
        <w:numPr>
          <w:ilvl w:val="1"/>
          <w:numId w:val="10"/>
        </w:numPr>
        <w:spacing w:before="240"/>
        <w:ind w:left="284" w:hanging="284"/>
        <w:contextualSpacing w:val="0"/>
        <w:rPr>
          <w:i/>
          <w:iCs/>
          <w:sz w:val="24"/>
          <w:szCs w:val="24"/>
        </w:rPr>
      </w:pPr>
      <w:r w:rsidRPr="00713E10">
        <w:rPr>
          <w:i/>
          <w:iCs/>
          <w:sz w:val="24"/>
          <w:szCs w:val="24"/>
        </w:rPr>
        <w:t>OBJEDNATEL:</w:t>
      </w:r>
    </w:p>
    <w:p w14:paraId="2ABD3458" w14:textId="77777777" w:rsidR="00713E10" w:rsidRDefault="00713E10" w:rsidP="00713E10">
      <w:pPr>
        <w:pStyle w:val="Odstavecseseznamem"/>
        <w:ind w:left="993"/>
        <w:contextualSpacing w:val="0"/>
        <w:rPr>
          <w:sz w:val="24"/>
          <w:szCs w:val="24"/>
        </w:rPr>
      </w:pPr>
      <w:r>
        <w:rPr>
          <w:sz w:val="24"/>
          <w:szCs w:val="24"/>
        </w:rPr>
        <w:t>Služby Boskovice, s.r.o.</w:t>
      </w:r>
    </w:p>
    <w:p w14:paraId="378DD828" w14:textId="77777777" w:rsidR="00713E10" w:rsidRDefault="00713E10" w:rsidP="00713E10">
      <w:pPr>
        <w:pStyle w:val="Odstavecseseznamem"/>
        <w:ind w:left="993"/>
        <w:contextualSpacing w:val="0"/>
        <w:rPr>
          <w:sz w:val="24"/>
          <w:szCs w:val="24"/>
        </w:rPr>
      </w:pPr>
      <w:r>
        <w:rPr>
          <w:sz w:val="24"/>
          <w:szCs w:val="24"/>
        </w:rPr>
        <w:t>U Lázní 2063/3, Boskovice 680 01</w:t>
      </w:r>
    </w:p>
    <w:p w14:paraId="57AA353F" w14:textId="77777777" w:rsidR="00713E10" w:rsidRDefault="00713E10" w:rsidP="00713E10">
      <w:pPr>
        <w:pStyle w:val="Odstavecseseznamem"/>
        <w:ind w:left="993"/>
        <w:contextualSpacing w:val="0"/>
        <w:rPr>
          <w:sz w:val="24"/>
          <w:szCs w:val="24"/>
        </w:rPr>
      </w:pPr>
      <w:r>
        <w:rPr>
          <w:sz w:val="24"/>
          <w:szCs w:val="24"/>
        </w:rPr>
        <w:t>IČ: 26944855</w:t>
      </w:r>
    </w:p>
    <w:p w14:paraId="37C98D00" w14:textId="77777777" w:rsidR="00713E10" w:rsidRDefault="00713E10" w:rsidP="00713E10">
      <w:pPr>
        <w:pStyle w:val="Odstavecseseznamem"/>
        <w:ind w:left="993"/>
        <w:contextualSpacing w:val="0"/>
        <w:rPr>
          <w:sz w:val="24"/>
          <w:szCs w:val="24"/>
        </w:rPr>
      </w:pPr>
      <w:r>
        <w:rPr>
          <w:sz w:val="24"/>
          <w:szCs w:val="24"/>
        </w:rPr>
        <w:t>DIČ: CZ26944855</w:t>
      </w:r>
    </w:p>
    <w:p w14:paraId="4A330E0B" w14:textId="77777777" w:rsidR="00713E10" w:rsidRDefault="00713E10" w:rsidP="00713E10">
      <w:pPr>
        <w:pStyle w:val="Odstavecseseznamem"/>
        <w:ind w:left="993"/>
        <w:contextualSpacing w:val="0"/>
        <w:rPr>
          <w:sz w:val="24"/>
          <w:szCs w:val="24"/>
        </w:rPr>
      </w:pPr>
      <w:r>
        <w:rPr>
          <w:sz w:val="24"/>
          <w:szCs w:val="24"/>
        </w:rPr>
        <w:t xml:space="preserve">Zastoupená Mgr. Milanem </w:t>
      </w:r>
      <w:proofErr w:type="spellStart"/>
      <w:r>
        <w:rPr>
          <w:sz w:val="24"/>
          <w:szCs w:val="24"/>
        </w:rPr>
        <w:t>Stryou</w:t>
      </w:r>
      <w:proofErr w:type="spellEnd"/>
      <w:r>
        <w:rPr>
          <w:sz w:val="24"/>
          <w:szCs w:val="24"/>
        </w:rPr>
        <w:t>, jednatelem</w:t>
      </w:r>
    </w:p>
    <w:p w14:paraId="23AE9C0E" w14:textId="77777777" w:rsidR="00713E10" w:rsidRDefault="00713E10" w:rsidP="00713E10">
      <w:pPr>
        <w:pStyle w:val="Odstavecseseznamem"/>
        <w:ind w:left="993"/>
        <w:contextualSpacing w:val="0"/>
        <w:rPr>
          <w:sz w:val="24"/>
          <w:szCs w:val="24"/>
        </w:rPr>
      </w:pPr>
      <w:r>
        <w:rPr>
          <w:sz w:val="24"/>
          <w:szCs w:val="24"/>
        </w:rPr>
        <w:t>Zapsaná v ve veřejném rejstříku u Krajské</w:t>
      </w:r>
      <w:r w:rsidRPr="0014011F">
        <w:rPr>
          <w:sz w:val="24"/>
          <w:szCs w:val="24"/>
        </w:rPr>
        <w:t>ho soudu v</w:t>
      </w:r>
      <w:r>
        <w:rPr>
          <w:sz w:val="24"/>
          <w:szCs w:val="24"/>
        </w:rPr>
        <w:t> Brně, oddíl C, vložka 47100</w:t>
      </w:r>
    </w:p>
    <w:p w14:paraId="7CA599AD" w14:textId="77777777" w:rsidR="00713E10" w:rsidRPr="00BB0272"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Předmět smlouvy</w:t>
      </w:r>
    </w:p>
    <w:p w14:paraId="780584D2" w14:textId="5D55B6EB" w:rsidR="00713E10" w:rsidRDefault="00713E10" w:rsidP="00713E10">
      <w:pPr>
        <w:pStyle w:val="Odstavecseseznamem"/>
        <w:ind w:left="0" w:firstLine="284"/>
        <w:contextualSpacing w:val="0"/>
        <w:jc w:val="both"/>
        <w:rPr>
          <w:sz w:val="24"/>
          <w:szCs w:val="24"/>
        </w:rPr>
      </w:pPr>
      <w:r>
        <w:rPr>
          <w:sz w:val="24"/>
          <w:szCs w:val="24"/>
        </w:rPr>
        <w:t xml:space="preserve">Realizace </w:t>
      </w:r>
      <w:r w:rsidR="000E6ED4">
        <w:rPr>
          <w:sz w:val="24"/>
          <w:szCs w:val="24"/>
        </w:rPr>
        <w:t xml:space="preserve">výměny </w:t>
      </w:r>
      <w:r>
        <w:rPr>
          <w:sz w:val="24"/>
          <w:szCs w:val="24"/>
        </w:rPr>
        <w:t xml:space="preserve">pískové filtrace na okruhu sněžné jámy na Zimním stadionu </w:t>
      </w:r>
      <w:r w:rsidRPr="00883424">
        <w:rPr>
          <w:sz w:val="24"/>
          <w:szCs w:val="24"/>
        </w:rPr>
        <w:t xml:space="preserve">Dukelská 2285, </w:t>
      </w:r>
      <w:r>
        <w:rPr>
          <w:sz w:val="24"/>
          <w:szCs w:val="24"/>
        </w:rPr>
        <w:t xml:space="preserve">Boskovice </w:t>
      </w:r>
      <w:r w:rsidRPr="00883424">
        <w:rPr>
          <w:sz w:val="24"/>
          <w:szCs w:val="24"/>
        </w:rPr>
        <w:t>68001</w:t>
      </w:r>
      <w:r>
        <w:rPr>
          <w:sz w:val="24"/>
          <w:szCs w:val="24"/>
        </w:rPr>
        <w:t>.</w:t>
      </w:r>
    </w:p>
    <w:p w14:paraId="06C5599D" w14:textId="77777777" w:rsidR="00713E10" w:rsidRDefault="00713E10" w:rsidP="00713E10">
      <w:pPr>
        <w:pStyle w:val="Odstavecseseznamem"/>
        <w:ind w:left="0" w:firstLine="284"/>
        <w:contextualSpacing w:val="0"/>
        <w:jc w:val="both"/>
        <w:rPr>
          <w:sz w:val="24"/>
          <w:szCs w:val="24"/>
        </w:rPr>
      </w:pPr>
      <w:r>
        <w:rPr>
          <w:sz w:val="24"/>
          <w:szCs w:val="24"/>
        </w:rPr>
        <w:t>Objednatel umožní technikům zhotovitele přístup do prostor Zimního stadionu a k rozvodům současné filtrace ze sněžné jámy. Dále pak objednatel zajistí</w:t>
      </w:r>
      <w:r w:rsidRPr="00883424">
        <w:rPr>
          <w:sz w:val="24"/>
          <w:szCs w:val="24"/>
        </w:rPr>
        <w:t xml:space="preserve"> </w:t>
      </w:r>
      <w:r>
        <w:rPr>
          <w:sz w:val="24"/>
          <w:szCs w:val="24"/>
        </w:rPr>
        <w:t xml:space="preserve">redukci současných rozvodů z PVC-U na požadované rozměry pro připojení čerpadla, nové pískové filtrace a elektrickou zásuvku </w:t>
      </w:r>
      <w:proofErr w:type="gramStart"/>
      <w:r>
        <w:rPr>
          <w:sz w:val="24"/>
          <w:szCs w:val="24"/>
        </w:rPr>
        <w:t>240V</w:t>
      </w:r>
      <w:proofErr w:type="gramEnd"/>
      <w:r>
        <w:rPr>
          <w:sz w:val="24"/>
          <w:szCs w:val="24"/>
        </w:rPr>
        <w:t>/16 A.</w:t>
      </w:r>
    </w:p>
    <w:p w14:paraId="5C0B901C" w14:textId="77777777" w:rsidR="00713E10" w:rsidRPr="00BB0272"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Termín realizace</w:t>
      </w:r>
    </w:p>
    <w:p w14:paraId="42A4653A" w14:textId="77777777" w:rsidR="00713E10" w:rsidRDefault="00713E10" w:rsidP="00713E10">
      <w:pPr>
        <w:pStyle w:val="Odstavecseseznamem"/>
        <w:ind w:left="0" w:firstLine="284"/>
        <w:contextualSpacing w:val="0"/>
        <w:jc w:val="both"/>
        <w:rPr>
          <w:sz w:val="24"/>
          <w:szCs w:val="24"/>
        </w:rPr>
      </w:pPr>
      <w:r>
        <w:rPr>
          <w:sz w:val="24"/>
          <w:szCs w:val="24"/>
        </w:rPr>
        <w:t>Do 4 týdnů od podpisu této smlouvy, nebo dle provozních podmínek a možností Zimního stadionu, dále dle dohody.</w:t>
      </w:r>
    </w:p>
    <w:p w14:paraId="37CC40DB" w14:textId="77777777" w:rsidR="00713E10" w:rsidRPr="00BB0272"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Cena díla</w:t>
      </w:r>
    </w:p>
    <w:p w14:paraId="31E0E2C8" w14:textId="77777777" w:rsidR="00713E10" w:rsidRDefault="00713E10" w:rsidP="00713E10">
      <w:pPr>
        <w:pStyle w:val="Odstavecseseznamem"/>
        <w:ind w:left="0" w:firstLine="284"/>
        <w:contextualSpacing w:val="0"/>
        <w:jc w:val="both"/>
        <w:rPr>
          <w:sz w:val="24"/>
          <w:szCs w:val="24"/>
        </w:rPr>
      </w:pPr>
      <w:r>
        <w:rPr>
          <w:sz w:val="24"/>
          <w:szCs w:val="24"/>
        </w:rPr>
        <w:t xml:space="preserve">Cena je stanovena na základě osobní prohlídky. </w:t>
      </w:r>
    </w:p>
    <w:tbl>
      <w:tblPr>
        <w:tblStyle w:val="Mkatabulky"/>
        <w:tblW w:w="5949" w:type="dxa"/>
        <w:tblInd w:w="992" w:type="dxa"/>
        <w:tblLook w:val="04A0" w:firstRow="1" w:lastRow="0" w:firstColumn="1" w:lastColumn="0" w:noHBand="0" w:noVBand="1"/>
      </w:tblPr>
      <w:tblGrid>
        <w:gridCol w:w="3965"/>
        <w:gridCol w:w="567"/>
        <w:gridCol w:w="1417"/>
      </w:tblGrid>
      <w:tr w:rsidR="00713E10" w14:paraId="16D8BC32" w14:textId="77777777" w:rsidTr="00AD029C">
        <w:tc>
          <w:tcPr>
            <w:tcW w:w="3965" w:type="dxa"/>
            <w:vAlign w:val="center"/>
          </w:tcPr>
          <w:p w14:paraId="1B68E89A" w14:textId="77777777" w:rsidR="00713E10" w:rsidRPr="00AC08AE" w:rsidRDefault="00713E10" w:rsidP="00AD029C">
            <w:pPr>
              <w:pStyle w:val="Odstavecseseznamem"/>
              <w:ind w:left="0"/>
              <w:contextualSpacing w:val="0"/>
              <w:jc w:val="center"/>
              <w:rPr>
                <w:b/>
                <w:bCs/>
                <w:sz w:val="24"/>
                <w:szCs w:val="24"/>
              </w:rPr>
            </w:pPr>
            <w:r w:rsidRPr="00AC08AE">
              <w:rPr>
                <w:b/>
                <w:bCs/>
                <w:sz w:val="24"/>
                <w:szCs w:val="24"/>
              </w:rPr>
              <w:t>Položky</w:t>
            </w:r>
          </w:p>
        </w:tc>
        <w:tc>
          <w:tcPr>
            <w:tcW w:w="567" w:type="dxa"/>
            <w:vAlign w:val="center"/>
          </w:tcPr>
          <w:p w14:paraId="22B01C89" w14:textId="77777777" w:rsidR="00713E10" w:rsidRPr="00AC08AE" w:rsidRDefault="00713E10" w:rsidP="00AD029C">
            <w:pPr>
              <w:pStyle w:val="Odstavecseseznamem"/>
              <w:ind w:left="0"/>
              <w:contextualSpacing w:val="0"/>
              <w:jc w:val="center"/>
              <w:rPr>
                <w:b/>
                <w:bCs/>
                <w:sz w:val="24"/>
                <w:szCs w:val="24"/>
              </w:rPr>
            </w:pPr>
            <w:r w:rsidRPr="00AC08AE">
              <w:rPr>
                <w:b/>
                <w:bCs/>
                <w:sz w:val="24"/>
                <w:szCs w:val="24"/>
              </w:rPr>
              <w:t>ks</w:t>
            </w:r>
          </w:p>
        </w:tc>
        <w:tc>
          <w:tcPr>
            <w:tcW w:w="1417" w:type="dxa"/>
            <w:vAlign w:val="center"/>
          </w:tcPr>
          <w:p w14:paraId="59437D46" w14:textId="77777777" w:rsidR="00713E10" w:rsidRPr="00AC08AE" w:rsidRDefault="00713E10" w:rsidP="00AD029C">
            <w:pPr>
              <w:pStyle w:val="Odstavecseseznamem"/>
              <w:ind w:left="0"/>
              <w:contextualSpacing w:val="0"/>
              <w:jc w:val="center"/>
              <w:rPr>
                <w:b/>
                <w:bCs/>
                <w:sz w:val="24"/>
                <w:szCs w:val="24"/>
              </w:rPr>
            </w:pPr>
            <w:r w:rsidRPr="00AC08AE">
              <w:rPr>
                <w:b/>
                <w:bCs/>
                <w:sz w:val="24"/>
                <w:szCs w:val="24"/>
              </w:rPr>
              <w:t>Celkem</w:t>
            </w:r>
          </w:p>
          <w:p w14:paraId="0D29C78A" w14:textId="77777777" w:rsidR="00713E10" w:rsidRPr="00AC08AE" w:rsidRDefault="00713E10" w:rsidP="00AD029C">
            <w:pPr>
              <w:pStyle w:val="Odstavecseseznamem"/>
              <w:ind w:left="0"/>
              <w:contextualSpacing w:val="0"/>
              <w:jc w:val="center"/>
              <w:rPr>
                <w:b/>
                <w:bCs/>
                <w:sz w:val="24"/>
                <w:szCs w:val="24"/>
              </w:rPr>
            </w:pPr>
            <w:r w:rsidRPr="00AC08AE">
              <w:rPr>
                <w:b/>
                <w:bCs/>
                <w:sz w:val="24"/>
                <w:szCs w:val="24"/>
              </w:rPr>
              <w:t>Kč bez DPH</w:t>
            </w:r>
          </w:p>
        </w:tc>
      </w:tr>
      <w:tr w:rsidR="00713E10" w14:paraId="58DAFACF" w14:textId="77777777" w:rsidTr="00AD029C">
        <w:tc>
          <w:tcPr>
            <w:tcW w:w="3965" w:type="dxa"/>
          </w:tcPr>
          <w:p w14:paraId="13B89372" w14:textId="77777777" w:rsidR="00713E10" w:rsidRDefault="00713E10" w:rsidP="00AD029C">
            <w:pPr>
              <w:pStyle w:val="Odstavecseseznamem"/>
              <w:ind w:left="0"/>
              <w:contextualSpacing w:val="0"/>
              <w:jc w:val="both"/>
              <w:rPr>
                <w:sz w:val="24"/>
                <w:szCs w:val="24"/>
              </w:rPr>
            </w:pPr>
            <w:r>
              <w:rPr>
                <w:sz w:val="24"/>
                <w:szCs w:val="24"/>
              </w:rPr>
              <w:t>Písková filtrace 2x100 litrů</w:t>
            </w:r>
          </w:p>
        </w:tc>
        <w:tc>
          <w:tcPr>
            <w:tcW w:w="567" w:type="dxa"/>
          </w:tcPr>
          <w:p w14:paraId="2AFD489E" w14:textId="77777777" w:rsidR="00713E10" w:rsidRDefault="00713E10" w:rsidP="00AD029C">
            <w:pPr>
              <w:pStyle w:val="Odstavecseseznamem"/>
              <w:ind w:left="0"/>
              <w:contextualSpacing w:val="0"/>
              <w:jc w:val="center"/>
              <w:rPr>
                <w:sz w:val="24"/>
                <w:szCs w:val="24"/>
              </w:rPr>
            </w:pPr>
            <w:r>
              <w:rPr>
                <w:sz w:val="24"/>
                <w:szCs w:val="24"/>
              </w:rPr>
              <w:t>1</w:t>
            </w:r>
          </w:p>
        </w:tc>
        <w:tc>
          <w:tcPr>
            <w:tcW w:w="1417" w:type="dxa"/>
          </w:tcPr>
          <w:p w14:paraId="51D7A4D2" w14:textId="77777777" w:rsidR="00713E10" w:rsidRDefault="00713E10" w:rsidP="00AD029C">
            <w:pPr>
              <w:pStyle w:val="Odstavecseseznamem"/>
              <w:ind w:left="0"/>
              <w:contextualSpacing w:val="0"/>
              <w:jc w:val="right"/>
              <w:rPr>
                <w:sz w:val="24"/>
                <w:szCs w:val="24"/>
              </w:rPr>
            </w:pPr>
            <w:r>
              <w:rPr>
                <w:sz w:val="24"/>
                <w:szCs w:val="24"/>
              </w:rPr>
              <w:t>44 000,00</w:t>
            </w:r>
          </w:p>
        </w:tc>
      </w:tr>
      <w:tr w:rsidR="00713E10" w14:paraId="4FA9A87B" w14:textId="77777777" w:rsidTr="00AD029C">
        <w:tc>
          <w:tcPr>
            <w:tcW w:w="3965" w:type="dxa"/>
          </w:tcPr>
          <w:p w14:paraId="63D4ADF7" w14:textId="77777777" w:rsidR="00713E10" w:rsidRDefault="00713E10" w:rsidP="00AD029C">
            <w:pPr>
              <w:pStyle w:val="Odstavecseseznamem"/>
              <w:ind w:left="0"/>
              <w:contextualSpacing w:val="0"/>
              <w:jc w:val="both"/>
              <w:rPr>
                <w:sz w:val="24"/>
                <w:szCs w:val="24"/>
              </w:rPr>
            </w:pPr>
            <w:r>
              <w:rPr>
                <w:sz w:val="24"/>
                <w:szCs w:val="24"/>
              </w:rPr>
              <w:t>Instalační materiál celkem</w:t>
            </w:r>
          </w:p>
        </w:tc>
        <w:tc>
          <w:tcPr>
            <w:tcW w:w="567" w:type="dxa"/>
          </w:tcPr>
          <w:p w14:paraId="7122C39B" w14:textId="77777777" w:rsidR="00713E10" w:rsidRDefault="00713E10" w:rsidP="00AD029C">
            <w:pPr>
              <w:pStyle w:val="Odstavecseseznamem"/>
              <w:ind w:left="0"/>
              <w:contextualSpacing w:val="0"/>
              <w:jc w:val="center"/>
              <w:rPr>
                <w:sz w:val="24"/>
                <w:szCs w:val="24"/>
              </w:rPr>
            </w:pPr>
            <w:r>
              <w:rPr>
                <w:sz w:val="24"/>
                <w:szCs w:val="24"/>
              </w:rPr>
              <w:t>1</w:t>
            </w:r>
          </w:p>
        </w:tc>
        <w:tc>
          <w:tcPr>
            <w:tcW w:w="1417" w:type="dxa"/>
          </w:tcPr>
          <w:p w14:paraId="5DB6FA35" w14:textId="77777777" w:rsidR="00713E10" w:rsidRDefault="00713E10" w:rsidP="00AD029C">
            <w:pPr>
              <w:pStyle w:val="Odstavecseseznamem"/>
              <w:ind w:left="0"/>
              <w:contextualSpacing w:val="0"/>
              <w:jc w:val="right"/>
              <w:rPr>
                <w:sz w:val="24"/>
                <w:szCs w:val="24"/>
              </w:rPr>
            </w:pPr>
            <w:r>
              <w:rPr>
                <w:sz w:val="24"/>
                <w:szCs w:val="24"/>
              </w:rPr>
              <w:t>37 675,00</w:t>
            </w:r>
          </w:p>
        </w:tc>
      </w:tr>
      <w:tr w:rsidR="00713E10" w14:paraId="46821761" w14:textId="77777777" w:rsidTr="00AD029C">
        <w:tc>
          <w:tcPr>
            <w:tcW w:w="3965" w:type="dxa"/>
          </w:tcPr>
          <w:p w14:paraId="3AB15FBC" w14:textId="77777777" w:rsidR="00713E10" w:rsidRDefault="00713E10" w:rsidP="00AD029C">
            <w:pPr>
              <w:pStyle w:val="Odstavecseseznamem"/>
              <w:ind w:left="0"/>
              <w:contextualSpacing w:val="0"/>
              <w:jc w:val="both"/>
              <w:rPr>
                <w:sz w:val="24"/>
                <w:szCs w:val="24"/>
              </w:rPr>
            </w:pPr>
            <w:r>
              <w:rPr>
                <w:sz w:val="24"/>
                <w:szCs w:val="24"/>
              </w:rPr>
              <w:t>Práce a doprava</w:t>
            </w:r>
          </w:p>
        </w:tc>
        <w:tc>
          <w:tcPr>
            <w:tcW w:w="567" w:type="dxa"/>
          </w:tcPr>
          <w:p w14:paraId="41B27C19" w14:textId="77777777" w:rsidR="00713E10" w:rsidRDefault="00713E10" w:rsidP="00AD029C">
            <w:pPr>
              <w:pStyle w:val="Odstavecseseznamem"/>
              <w:ind w:left="0"/>
              <w:contextualSpacing w:val="0"/>
              <w:jc w:val="center"/>
              <w:rPr>
                <w:sz w:val="24"/>
                <w:szCs w:val="24"/>
              </w:rPr>
            </w:pPr>
            <w:r>
              <w:rPr>
                <w:sz w:val="24"/>
                <w:szCs w:val="24"/>
              </w:rPr>
              <w:t>1</w:t>
            </w:r>
          </w:p>
        </w:tc>
        <w:tc>
          <w:tcPr>
            <w:tcW w:w="1417" w:type="dxa"/>
          </w:tcPr>
          <w:p w14:paraId="774FABE3" w14:textId="77777777" w:rsidR="00713E10" w:rsidRDefault="00713E10" w:rsidP="00AD029C">
            <w:pPr>
              <w:pStyle w:val="Odstavecseseznamem"/>
              <w:ind w:left="0"/>
              <w:contextualSpacing w:val="0"/>
              <w:jc w:val="right"/>
              <w:rPr>
                <w:sz w:val="24"/>
                <w:szCs w:val="24"/>
              </w:rPr>
            </w:pPr>
            <w:r>
              <w:rPr>
                <w:sz w:val="24"/>
                <w:szCs w:val="24"/>
              </w:rPr>
              <w:t>12 972,00</w:t>
            </w:r>
          </w:p>
        </w:tc>
      </w:tr>
      <w:tr w:rsidR="00713E10" w:rsidRPr="00AC08AE" w14:paraId="1DE98E94" w14:textId="77777777" w:rsidTr="00AD029C">
        <w:tc>
          <w:tcPr>
            <w:tcW w:w="4532" w:type="dxa"/>
            <w:gridSpan w:val="2"/>
            <w:vAlign w:val="center"/>
          </w:tcPr>
          <w:p w14:paraId="07C7BE15" w14:textId="77777777" w:rsidR="00713E10" w:rsidRPr="00AC08AE" w:rsidRDefault="00713E10" w:rsidP="00AD029C">
            <w:pPr>
              <w:pStyle w:val="Odstavecseseznamem"/>
              <w:ind w:left="0"/>
              <w:contextualSpacing w:val="0"/>
              <w:rPr>
                <w:b/>
                <w:bCs/>
                <w:sz w:val="24"/>
                <w:szCs w:val="24"/>
              </w:rPr>
            </w:pPr>
            <w:r w:rsidRPr="00AC08AE">
              <w:rPr>
                <w:b/>
                <w:bCs/>
                <w:sz w:val="24"/>
                <w:szCs w:val="24"/>
              </w:rPr>
              <w:t>Cena celkem Kč bez DPH</w:t>
            </w:r>
          </w:p>
        </w:tc>
        <w:tc>
          <w:tcPr>
            <w:tcW w:w="1417" w:type="dxa"/>
          </w:tcPr>
          <w:p w14:paraId="14D3D6F1" w14:textId="77777777" w:rsidR="00713E10" w:rsidRPr="00AC08AE" w:rsidRDefault="00713E10" w:rsidP="00AD029C">
            <w:pPr>
              <w:pStyle w:val="Odstavecseseznamem"/>
              <w:ind w:left="0"/>
              <w:contextualSpacing w:val="0"/>
              <w:jc w:val="right"/>
              <w:rPr>
                <w:b/>
                <w:bCs/>
                <w:sz w:val="24"/>
                <w:szCs w:val="24"/>
              </w:rPr>
            </w:pPr>
            <w:r w:rsidRPr="00AC08AE">
              <w:rPr>
                <w:b/>
                <w:bCs/>
                <w:sz w:val="24"/>
                <w:szCs w:val="24"/>
              </w:rPr>
              <w:t>94 647,00</w:t>
            </w:r>
          </w:p>
        </w:tc>
      </w:tr>
    </w:tbl>
    <w:p w14:paraId="240F91FE" w14:textId="77777777" w:rsidR="00713E10" w:rsidRPr="00BB0272"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Přejímání a předání zakázky</w:t>
      </w:r>
    </w:p>
    <w:p w14:paraId="04608908" w14:textId="77777777" w:rsidR="00713E10" w:rsidRDefault="00713E10" w:rsidP="00713E10">
      <w:pPr>
        <w:pStyle w:val="Odstavecseseznamem"/>
        <w:tabs>
          <w:tab w:val="left" w:pos="2977"/>
        </w:tabs>
        <w:ind w:left="0"/>
        <w:contextualSpacing w:val="0"/>
        <w:jc w:val="both"/>
        <w:rPr>
          <w:sz w:val="24"/>
          <w:szCs w:val="24"/>
        </w:rPr>
      </w:pPr>
      <w:r>
        <w:rPr>
          <w:sz w:val="24"/>
          <w:szCs w:val="24"/>
        </w:rPr>
        <w:t>Odpovědný za zhotovitele:</w:t>
      </w:r>
      <w:r>
        <w:rPr>
          <w:sz w:val="24"/>
          <w:szCs w:val="24"/>
        </w:rPr>
        <w:tab/>
        <w:t>Jindřich Koudelný (jednatel)</w:t>
      </w:r>
    </w:p>
    <w:p w14:paraId="06759D86" w14:textId="2DE35655" w:rsidR="00713E10" w:rsidRDefault="00713E10" w:rsidP="00713E10">
      <w:pPr>
        <w:pStyle w:val="Odstavecseseznamem"/>
        <w:tabs>
          <w:tab w:val="left" w:pos="2977"/>
        </w:tabs>
        <w:ind w:left="0"/>
        <w:contextualSpacing w:val="0"/>
        <w:jc w:val="both"/>
        <w:rPr>
          <w:sz w:val="24"/>
          <w:szCs w:val="24"/>
        </w:rPr>
      </w:pPr>
      <w:r>
        <w:rPr>
          <w:sz w:val="24"/>
          <w:szCs w:val="24"/>
        </w:rPr>
        <w:t>Odpovědný za objednatele:</w:t>
      </w:r>
      <w:r>
        <w:rPr>
          <w:sz w:val="24"/>
          <w:szCs w:val="24"/>
        </w:rPr>
        <w:tab/>
      </w:r>
      <w:r w:rsidR="000E6ED4">
        <w:rPr>
          <w:sz w:val="24"/>
          <w:szCs w:val="24"/>
        </w:rPr>
        <w:t xml:space="preserve">Petr Malach, DiS. </w:t>
      </w:r>
    </w:p>
    <w:p w14:paraId="6928D832" w14:textId="77777777" w:rsidR="00713E10" w:rsidRDefault="00713E10" w:rsidP="00713E10">
      <w:pPr>
        <w:rPr>
          <w:sz w:val="24"/>
          <w:szCs w:val="24"/>
        </w:rPr>
      </w:pPr>
      <w:r>
        <w:rPr>
          <w:sz w:val="24"/>
          <w:szCs w:val="24"/>
        </w:rPr>
        <w:br w:type="page"/>
      </w:r>
    </w:p>
    <w:p w14:paraId="5EFAF10B" w14:textId="77777777" w:rsidR="00713E10" w:rsidRPr="00BB0272"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lastRenderedPageBreak/>
        <w:t>Vlastnická práva</w:t>
      </w:r>
    </w:p>
    <w:p w14:paraId="5BFE2F00"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Nebezpečí škod na díle přechází na objednatele okamžikem převzetí díla.</w:t>
      </w:r>
    </w:p>
    <w:p w14:paraId="415E0471"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Dílo se stává majetkem objednatele po zaplacení celé ceny díla.</w:t>
      </w:r>
    </w:p>
    <w:p w14:paraId="4EDD3D0A" w14:textId="77777777" w:rsidR="00713E10" w:rsidRPr="00BB0272"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Financování</w:t>
      </w:r>
    </w:p>
    <w:p w14:paraId="187B883E"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Objednatel prohlašuje, že má dostatečné finanční prostředky pro úhradu plnění dle hlavy IV. Této smlouvy. Smluvní strany se dohodly, že úhrada ceny díla bude uskutečněna až na základě vystavené faktury po předání díla/zakázky zástupci objednatele.</w:t>
      </w:r>
    </w:p>
    <w:p w14:paraId="562683AB"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 xml:space="preserve">Platební podmínky jsou stanovena se splatností 14 dní od dne vystavení faktury, pokud nebude dohodnuto jinak. </w:t>
      </w:r>
    </w:p>
    <w:p w14:paraId="1E962C76" w14:textId="77777777" w:rsidR="00713E10" w:rsidRPr="00BB0272"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Reklamace</w:t>
      </w:r>
    </w:p>
    <w:p w14:paraId="02346F95"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Reklamace jakéhokoliv druhu lze zohlednit jen v případě, že se nainstalované zboží/zařízení nachází na místě a ve stavu v jakém bylo dodáno. Reklamaci je nutno uplatnit u zhotovitele neprodleně a v době 24 měsíců od předání díla.</w:t>
      </w:r>
    </w:p>
    <w:p w14:paraId="30A949E6"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 xml:space="preserve">Při oprávněné reklamaci má objednatel nárok jen na snížení ceny, nebo náhradní dodávku, případně bezplatnou opravu, jde-li o vadu odstranitelnou. </w:t>
      </w:r>
    </w:p>
    <w:p w14:paraId="6984BAD2"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Podání reklamace nezbavuje objednatele zaplatit zhotoviteli vyúčtovanou cenu dodávky.</w:t>
      </w:r>
    </w:p>
    <w:p w14:paraId="23FFF8F6" w14:textId="77777777" w:rsidR="00713E10"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Ostatní ujednání</w:t>
      </w:r>
    </w:p>
    <w:p w14:paraId="2DFEB3B5" w14:textId="77777777" w:rsidR="00713E10" w:rsidRDefault="00713E10" w:rsidP="00713E10">
      <w:pPr>
        <w:pStyle w:val="Odstavecseseznamem"/>
        <w:ind w:left="0" w:firstLine="284"/>
        <w:contextualSpacing w:val="0"/>
        <w:jc w:val="both"/>
        <w:rPr>
          <w:sz w:val="24"/>
          <w:szCs w:val="24"/>
        </w:rPr>
      </w:pPr>
      <w:r w:rsidRPr="00E107DC">
        <w:rPr>
          <w:sz w:val="24"/>
          <w:szCs w:val="24"/>
        </w:rPr>
        <w:t>Technické</w:t>
      </w:r>
      <w:r>
        <w:rPr>
          <w:sz w:val="24"/>
          <w:szCs w:val="24"/>
        </w:rPr>
        <w:t xml:space="preserve"> řešení, organizační </w:t>
      </w:r>
      <w:r w:rsidRPr="00E107DC">
        <w:rPr>
          <w:sz w:val="24"/>
          <w:szCs w:val="24"/>
        </w:rPr>
        <w:t>řešení a technologii realizace řeší pracovník zhotovitele</w:t>
      </w:r>
      <w:r>
        <w:rPr>
          <w:sz w:val="24"/>
          <w:szCs w:val="24"/>
        </w:rPr>
        <w:t xml:space="preserve"> ve spolupráci se zástupci objednatele v souladu s oprávněnými požadavky provozovatele. Technické řešení přitom musí souhlasit s technickými požadavky výrobce nebo dodavatele.</w:t>
      </w:r>
    </w:p>
    <w:p w14:paraId="1F410564" w14:textId="77777777" w:rsidR="00713E10" w:rsidRDefault="00713E10" w:rsidP="00713E10">
      <w:pPr>
        <w:pStyle w:val="Odstavecseseznamem"/>
        <w:ind w:left="0" w:firstLine="284"/>
        <w:contextualSpacing w:val="0"/>
        <w:jc w:val="both"/>
        <w:rPr>
          <w:sz w:val="24"/>
          <w:szCs w:val="24"/>
        </w:rPr>
      </w:pPr>
      <w:r>
        <w:rPr>
          <w:sz w:val="24"/>
          <w:szCs w:val="24"/>
        </w:rPr>
        <w:t>Termín realizace dle hlavy III. této smlouvy bude dodržen za předpokladu, že realizaci neznemožní nepřízeň počasí (mráz, sněžení vítr, déšť), nebo jiné skutečnosti (vyšší moc), při podpisu této smlouvy neznámé, nebo překážky na straně provozovatele. Pokud taková skutečnost nastane, bude řádně zaprotokolována v dokumentech „Záznam o servisní návštěvě“ nebo „Pracovní výkaz“, nebo „Předávací protokol“.</w:t>
      </w:r>
    </w:p>
    <w:p w14:paraId="1C78909E" w14:textId="77777777" w:rsidR="00713E10" w:rsidRPr="00E107DC" w:rsidRDefault="00713E10" w:rsidP="00713E10">
      <w:pPr>
        <w:pStyle w:val="Odstavecseseznamem"/>
        <w:ind w:left="0" w:firstLine="284"/>
        <w:contextualSpacing w:val="0"/>
        <w:jc w:val="both"/>
        <w:rPr>
          <w:sz w:val="24"/>
          <w:szCs w:val="24"/>
        </w:rPr>
      </w:pPr>
      <w:r>
        <w:rPr>
          <w:sz w:val="24"/>
          <w:szCs w:val="24"/>
        </w:rPr>
        <w:t xml:space="preserve">Dílo pak bude dokončeno v nejbližším možném termínu. V případě, že realizace nebyla dokončena zapříčiněním některé ze smluvních stran, budou více náklady hrazeny stranou, která dokončení realizace znemožnila. Příčiny nedokončení realizace musí být řádně zaprotokolovány a potvrzeny zástupci smluvních stran. </w:t>
      </w:r>
    </w:p>
    <w:p w14:paraId="5850B538" w14:textId="77777777" w:rsidR="00713E10" w:rsidRDefault="00713E10" w:rsidP="00713E10">
      <w:pPr>
        <w:pStyle w:val="Odstavecseseznamem"/>
        <w:numPr>
          <w:ilvl w:val="0"/>
          <w:numId w:val="10"/>
        </w:numPr>
        <w:spacing w:before="240"/>
        <w:ind w:left="568" w:hanging="284"/>
        <w:contextualSpacing w:val="0"/>
        <w:jc w:val="center"/>
        <w:rPr>
          <w:b/>
          <w:bCs/>
          <w:sz w:val="24"/>
          <w:szCs w:val="24"/>
        </w:rPr>
      </w:pPr>
      <w:r>
        <w:rPr>
          <w:b/>
          <w:bCs/>
          <w:sz w:val="24"/>
          <w:szCs w:val="24"/>
        </w:rPr>
        <w:t>Závěrečná ujednání</w:t>
      </w:r>
    </w:p>
    <w:p w14:paraId="2B450B8C"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Smlouva nabývá platností dnem jejího podpisu oběma smluvními stranami. Je vyhotovena ve dvou stejnopisech, z nichž jeden obdrží objednatel a jeden zhotovitel. Eventuální neplatnost jednotlivých ustanovení této smlouvy nemá za následek neplatnost celé smlouvy.</w:t>
      </w:r>
    </w:p>
    <w:p w14:paraId="12D8CA69" w14:textId="77777777" w:rsidR="00713E10" w:rsidRDefault="00713E10" w:rsidP="00713E10">
      <w:pPr>
        <w:pStyle w:val="Odstavecseseznamem"/>
        <w:tabs>
          <w:tab w:val="left" w:pos="3969"/>
        </w:tabs>
        <w:ind w:left="0" w:firstLine="284"/>
        <w:contextualSpacing w:val="0"/>
        <w:jc w:val="both"/>
        <w:rPr>
          <w:sz w:val="24"/>
          <w:szCs w:val="24"/>
        </w:rPr>
      </w:pPr>
      <w:r>
        <w:rPr>
          <w:sz w:val="24"/>
          <w:szCs w:val="24"/>
        </w:rPr>
        <w:t>Práva a povinnosti této smlouvy vysloveně neupravené se řídí obecně závaznými právními předpisy.</w:t>
      </w:r>
    </w:p>
    <w:p w14:paraId="21D9DBBD" w14:textId="77777777" w:rsidR="00713E10" w:rsidRPr="00E107DC" w:rsidRDefault="00713E10" w:rsidP="00713E10">
      <w:pPr>
        <w:pStyle w:val="Odstavecseseznamem"/>
        <w:tabs>
          <w:tab w:val="left" w:pos="3969"/>
        </w:tabs>
        <w:ind w:left="0" w:firstLine="284"/>
        <w:contextualSpacing w:val="0"/>
        <w:jc w:val="both"/>
        <w:rPr>
          <w:sz w:val="24"/>
          <w:szCs w:val="24"/>
        </w:rPr>
      </w:pPr>
    </w:p>
    <w:p w14:paraId="3DCFA0FA" w14:textId="77777777" w:rsidR="00713E10" w:rsidRPr="00481BB1" w:rsidRDefault="00713E10" w:rsidP="00713E10">
      <w:pPr>
        <w:tabs>
          <w:tab w:val="left" w:pos="3969"/>
          <w:tab w:val="left" w:pos="4678"/>
          <w:tab w:val="left" w:pos="6663"/>
          <w:tab w:val="left" w:pos="8931"/>
        </w:tabs>
        <w:spacing w:before="720"/>
        <w:jc w:val="both"/>
        <w:rPr>
          <w:sz w:val="24"/>
          <w:szCs w:val="24"/>
        </w:rPr>
      </w:pPr>
      <w:r w:rsidRPr="000D6B29">
        <w:rPr>
          <w:sz w:val="24"/>
          <w:szCs w:val="24"/>
        </w:rPr>
        <w:t xml:space="preserve">V </w:t>
      </w:r>
      <w:r>
        <w:rPr>
          <w:sz w:val="24"/>
          <w:szCs w:val="24"/>
        </w:rPr>
        <w:t>Odrách</w:t>
      </w:r>
      <w:r w:rsidRPr="000D6B29">
        <w:rPr>
          <w:sz w:val="24"/>
          <w:szCs w:val="24"/>
        </w:rPr>
        <w:t xml:space="preserve">, dne </w:t>
      </w:r>
      <w:r w:rsidRPr="000201DB">
        <w:rPr>
          <w:sz w:val="24"/>
          <w:szCs w:val="24"/>
          <w:u w:val="dotted"/>
        </w:rPr>
        <w:tab/>
      </w:r>
      <w:r w:rsidRPr="000D6B29">
        <w:rPr>
          <w:sz w:val="24"/>
          <w:szCs w:val="24"/>
        </w:rPr>
        <w:tab/>
        <w:t>V</w:t>
      </w:r>
      <w:r>
        <w:rPr>
          <w:sz w:val="24"/>
          <w:szCs w:val="24"/>
        </w:rPr>
        <w:t xml:space="preserve"> Boskovicích, </w:t>
      </w:r>
      <w:r w:rsidRPr="00481BB1">
        <w:rPr>
          <w:sz w:val="24"/>
          <w:szCs w:val="24"/>
        </w:rPr>
        <w:t xml:space="preserve">dne </w:t>
      </w:r>
      <w:r w:rsidRPr="00713E10">
        <w:rPr>
          <w:sz w:val="24"/>
          <w:szCs w:val="24"/>
          <w:u w:val="dotted"/>
        </w:rPr>
        <w:tab/>
      </w:r>
      <w:r w:rsidRPr="00713E10">
        <w:rPr>
          <w:sz w:val="24"/>
          <w:szCs w:val="24"/>
          <w:u w:val="dotted"/>
        </w:rPr>
        <w:tab/>
      </w:r>
    </w:p>
    <w:p w14:paraId="615F5CF4" w14:textId="77777777" w:rsidR="00713E10" w:rsidRPr="006B632A" w:rsidRDefault="00713E10" w:rsidP="00713E10">
      <w:pPr>
        <w:tabs>
          <w:tab w:val="left" w:pos="4678"/>
        </w:tabs>
        <w:spacing w:before="840"/>
        <w:jc w:val="both"/>
        <w:rPr>
          <w:b/>
          <w:sz w:val="24"/>
          <w:szCs w:val="24"/>
        </w:rPr>
      </w:pPr>
      <w:r>
        <w:rPr>
          <w:b/>
          <w:sz w:val="24"/>
          <w:szCs w:val="24"/>
        </w:rPr>
        <w:t xml:space="preserve">Zhotovitel: </w:t>
      </w:r>
      <w:r>
        <w:rPr>
          <w:sz w:val="24"/>
          <w:szCs w:val="24"/>
        </w:rPr>
        <w:t>………………………………</w:t>
      </w:r>
      <w:r>
        <w:rPr>
          <w:b/>
          <w:sz w:val="24"/>
          <w:szCs w:val="24"/>
        </w:rPr>
        <w:tab/>
        <w:t>Objednatel</w:t>
      </w:r>
      <w:r w:rsidRPr="00481BB1">
        <w:rPr>
          <w:b/>
          <w:sz w:val="24"/>
          <w:szCs w:val="24"/>
        </w:rPr>
        <w:t>:</w:t>
      </w:r>
      <w:r>
        <w:rPr>
          <w:b/>
          <w:sz w:val="24"/>
          <w:szCs w:val="24"/>
        </w:rPr>
        <w:t xml:space="preserve"> </w:t>
      </w:r>
      <w:r>
        <w:rPr>
          <w:sz w:val="24"/>
          <w:szCs w:val="24"/>
        </w:rPr>
        <w:t>…………………………………</w:t>
      </w:r>
    </w:p>
    <w:p w14:paraId="227DD715" w14:textId="77777777" w:rsidR="00713E10" w:rsidRPr="003408C6" w:rsidRDefault="00713E10" w:rsidP="00713E10">
      <w:pPr>
        <w:tabs>
          <w:tab w:val="center" w:pos="2694"/>
          <w:tab w:val="center" w:pos="7230"/>
        </w:tabs>
        <w:jc w:val="both"/>
      </w:pPr>
      <w:r>
        <w:rPr>
          <w:sz w:val="24"/>
          <w:szCs w:val="24"/>
        </w:rPr>
        <w:tab/>
      </w:r>
      <w:r>
        <w:t>Jindřich Koudelný</w:t>
      </w:r>
      <w:r>
        <w:tab/>
        <w:t>Mgr. Milan Strya</w:t>
      </w:r>
    </w:p>
    <w:p w14:paraId="50B0FD52" w14:textId="77777777" w:rsidR="00713E10" w:rsidRPr="003408C6" w:rsidRDefault="00713E10" w:rsidP="00713E10">
      <w:pPr>
        <w:tabs>
          <w:tab w:val="center" w:pos="2694"/>
          <w:tab w:val="center" w:pos="7230"/>
        </w:tabs>
        <w:jc w:val="both"/>
      </w:pPr>
      <w:r w:rsidRPr="003408C6">
        <w:tab/>
        <w:t>jednatel</w:t>
      </w:r>
      <w:r>
        <w:tab/>
        <w:t>jednatel</w:t>
      </w:r>
    </w:p>
    <w:p w14:paraId="30F31193" w14:textId="77777777" w:rsidR="005A2CE9" w:rsidRDefault="005A2CE9" w:rsidP="00713E10"/>
    <w:sectPr w:rsidR="005A2CE9" w:rsidSect="00713E10">
      <w:headerReference w:type="default" r:id="rId7"/>
      <w:footerReference w:type="even" r:id="rId8"/>
      <w:footerReference w:type="default" r:id="rId9"/>
      <w:pgSz w:w="11906" w:h="16838"/>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A2E2" w14:textId="77777777" w:rsidR="00C52AFA" w:rsidRDefault="00C52AFA" w:rsidP="00713E10">
      <w:r>
        <w:separator/>
      </w:r>
    </w:p>
  </w:endnote>
  <w:endnote w:type="continuationSeparator" w:id="0">
    <w:p w14:paraId="64EC41ED" w14:textId="77777777" w:rsidR="00C52AFA" w:rsidRDefault="00C52AFA" w:rsidP="0071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7B25" w14:textId="77777777" w:rsidR="00713E10" w:rsidRDefault="00713E10" w:rsidP="00A66C7A">
    <w:pPr>
      <w:pStyle w:val="Zpat"/>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6DB53027" w14:textId="77777777" w:rsidR="00713E10" w:rsidRDefault="00713E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80E1" w14:textId="77777777" w:rsidR="00713E10" w:rsidRDefault="00713E10" w:rsidP="00A66C7A">
    <w:pPr>
      <w:pStyle w:val="Zpat"/>
      <w:jc w:val="center"/>
    </w:pPr>
    <w:r>
      <w:fldChar w:fldCharType="begin"/>
    </w:r>
    <w:r>
      <w:instrText xml:space="preserve"> PAGE </w:instrText>
    </w:r>
    <w:r>
      <w:fldChar w:fldCharType="separate"/>
    </w:r>
    <w:r>
      <w:rPr>
        <w:noProof/>
      </w:rPr>
      <w:t>1</w:t>
    </w:r>
    <w:r>
      <w:rPr>
        <w:noProof/>
      </w:rPr>
      <w:fldChar w:fldCharType="end"/>
    </w:r>
    <w:r>
      <w:t xml:space="preserve"> / </w:t>
    </w:r>
    <w:fldSimple w:instr=" NUMPAGES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DB0DB" w14:textId="77777777" w:rsidR="00C52AFA" w:rsidRDefault="00C52AFA" w:rsidP="00713E10">
      <w:r>
        <w:separator/>
      </w:r>
    </w:p>
  </w:footnote>
  <w:footnote w:type="continuationSeparator" w:id="0">
    <w:p w14:paraId="09FD0D98" w14:textId="77777777" w:rsidR="00C52AFA" w:rsidRDefault="00C52AFA" w:rsidP="0071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7104" w14:textId="77777777" w:rsidR="00713E10" w:rsidRDefault="00713E10">
    <w:pPr>
      <w:pStyle w:val="Zhlav"/>
    </w:pPr>
    <w:r>
      <w:t>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8EF"/>
    <w:multiLevelType w:val="hybridMultilevel"/>
    <w:tmpl w:val="612652F0"/>
    <w:lvl w:ilvl="0" w:tplc="2298669A">
      <w:start w:val="1"/>
      <w:numFmt w:val="decimal"/>
      <w:lvlText w:val="%1)"/>
      <w:lvlJc w:val="left"/>
      <w:pPr>
        <w:ind w:left="1080" w:hanging="72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E518D"/>
    <w:multiLevelType w:val="hybridMultilevel"/>
    <w:tmpl w:val="C72096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26954"/>
    <w:multiLevelType w:val="hybridMultilevel"/>
    <w:tmpl w:val="FD2633C8"/>
    <w:lvl w:ilvl="0" w:tplc="0C741800">
      <w:start w:val="1"/>
      <w:numFmt w:val="decimal"/>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03038"/>
    <w:multiLevelType w:val="hybridMultilevel"/>
    <w:tmpl w:val="FFD4E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54708"/>
    <w:multiLevelType w:val="hybridMultilevel"/>
    <w:tmpl w:val="D74ADFD6"/>
    <w:lvl w:ilvl="0" w:tplc="5E4262C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C1543C"/>
    <w:multiLevelType w:val="hybridMultilevel"/>
    <w:tmpl w:val="D0502CF8"/>
    <w:lvl w:ilvl="0" w:tplc="9FB2010A">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A65CB"/>
    <w:multiLevelType w:val="hybridMultilevel"/>
    <w:tmpl w:val="E5F488C0"/>
    <w:lvl w:ilvl="0" w:tplc="0D4EBC5A">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BD738E"/>
    <w:multiLevelType w:val="hybridMultilevel"/>
    <w:tmpl w:val="3A623D92"/>
    <w:lvl w:ilvl="0" w:tplc="1410262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9379E9"/>
    <w:multiLevelType w:val="multilevel"/>
    <w:tmpl w:val="3F0AE11C"/>
    <w:lvl w:ilvl="0">
      <w:start w:val="1"/>
      <w:numFmt w:val="upperRoman"/>
      <w:lvlText w:val="%1."/>
      <w:lvlJc w:val="left"/>
      <w:pPr>
        <w:ind w:left="469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42A6BB0"/>
    <w:multiLevelType w:val="hybridMultilevel"/>
    <w:tmpl w:val="297CC6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3381289">
    <w:abstractNumId w:val="7"/>
  </w:num>
  <w:num w:numId="2" w16cid:durableId="2063476456">
    <w:abstractNumId w:val="0"/>
  </w:num>
  <w:num w:numId="3" w16cid:durableId="1085759754">
    <w:abstractNumId w:val="4"/>
  </w:num>
  <w:num w:numId="4" w16cid:durableId="669334925">
    <w:abstractNumId w:val="2"/>
  </w:num>
  <w:num w:numId="5" w16cid:durableId="673264569">
    <w:abstractNumId w:val="6"/>
  </w:num>
  <w:num w:numId="6" w16cid:durableId="267857770">
    <w:abstractNumId w:val="9"/>
  </w:num>
  <w:num w:numId="7" w16cid:durableId="654531515">
    <w:abstractNumId w:val="1"/>
  </w:num>
  <w:num w:numId="8" w16cid:durableId="1147164074">
    <w:abstractNumId w:val="5"/>
  </w:num>
  <w:num w:numId="9" w16cid:durableId="968899290">
    <w:abstractNumId w:val="3"/>
  </w:num>
  <w:num w:numId="10" w16cid:durableId="1270578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10"/>
    <w:rsid w:val="000E6ED4"/>
    <w:rsid w:val="00242638"/>
    <w:rsid w:val="003C40F3"/>
    <w:rsid w:val="00474D6A"/>
    <w:rsid w:val="005868C2"/>
    <w:rsid w:val="005A2CE9"/>
    <w:rsid w:val="00611C08"/>
    <w:rsid w:val="00713E10"/>
    <w:rsid w:val="00781FC4"/>
    <w:rsid w:val="00B023CD"/>
    <w:rsid w:val="00B90BEB"/>
    <w:rsid w:val="00C52AFA"/>
    <w:rsid w:val="00D102B1"/>
    <w:rsid w:val="00E24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3F68"/>
  <w15:chartTrackingRefBased/>
  <w15:docId w15:val="{F59B396C-EF1A-4A44-AA1A-7F38E9AF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3E10"/>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713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713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13E1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13E1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13E1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13E1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13E1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13E1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13E1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3E1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713E1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13E1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13E1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13E1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13E1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13E1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13E1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13E10"/>
    <w:rPr>
      <w:rFonts w:eastAsiaTheme="majorEastAsia" w:cstheme="majorBidi"/>
      <w:color w:val="272727" w:themeColor="text1" w:themeTint="D8"/>
    </w:rPr>
  </w:style>
  <w:style w:type="paragraph" w:styleId="Nzev">
    <w:name w:val="Title"/>
    <w:basedOn w:val="Normln"/>
    <w:next w:val="Normln"/>
    <w:link w:val="NzevChar"/>
    <w:uiPriority w:val="10"/>
    <w:qFormat/>
    <w:rsid w:val="00713E1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3E1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13E1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13E1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13E10"/>
    <w:pPr>
      <w:spacing w:before="160"/>
      <w:jc w:val="center"/>
    </w:pPr>
    <w:rPr>
      <w:i/>
      <w:iCs/>
      <w:color w:val="404040" w:themeColor="text1" w:themeTint="BF"/>
    </w:rPr>
  </w:style>
  <w:style w:type="character" w:customStyle="1" w:styleId="CittChar">
    <w:name w:val="Citát Char"/>
    <w:basedOn w:val="Standardnpsmoodstavce"/>
    <w:link w:val="Citt"/>
    <w:uiPriority w:val="29"/>
    <w:rsid w:val="00713E10"/>
    <w:rPr>
      <w:i/>
      <w:iCs/>
      <w:color w:val="404040" w:themeColor="text1" w:themeTint="BF"/>
    </w:rPr>
  </w:style>
  <w:style w:type="paragraph" w:styleId="Odstavecseseznamem">
    <w:name w:val="List Paragraph"/>
    <w:basedOn w:val="Normln"/>
    <w:uiPriority w:val="34"/>
    <w:qFormat/>
    <w:rsid w:val="00713E10"/>
    <w:pPr>
      <w:ind w:left="720"/>
      <w:contextualSpacing/>
    </w:pPr>
  </w:style>
  <w:style w:type="character" w:styleId="Zdraznnintenzivn">
    <w:name w:val="Intense Emphasis"/>
    <w:basedOn w:val="Standardnpsmoodstavce"/>
    <w:uiPriority w:val="21"/>
    <w:qFormat/>
    <w:rsid w:val="00713E10"/>
    <w:rPr>
      <w:i/>
      <w:iCs/>
      <w:color w:val="2F5496" w:themeColor="accent1" w:themeShade="BF"/>
    </w:rPr>
  </w:style>
  <w:style w:type="paragraph" w:styleId="Vrazncitt">
    <w:name w:val="Intense Quote"/>
    <w:basedOn w:val="Normln"/>
    <w:next w:val="Normln"/>
    <w:link w:val="VrazncittChar"/>
    <w:uiPriority w:val="30"/>
    <w:qFormat/>
    <w:rsid w:val="00713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13E10"/>
    <w:rPr>
      <w:i/>
      <w:iCs/>
      <w:color w:val="2F5496" w:themeColor="accent1" w:themeShade="BF"/>
    </w:rPr>
  </w:style>
  <w:style w:type="character" w:styleId="Odkazintenzivn">
    <w:name w:val="Intense Reference"/>
    <w:basedOn w:val="Standardnpsmoodstavce"/>
    <w:uiPriority w:val="32"/>
    <w:qFormat/>
    <w:rsid w:val="00713E10"/>
    <w:rPr>
      <w:b/>
      <w:bCs/>
      <w:smallCaps/>
      <w:color w:val="2F5496" w:themeColor="accent1" w:themeShade="BF"/>
      <w:spacing w:val="5"/>
    </w:rPr>
  </w:style>
  <w:style w:type="paragraph" w:styleId="Zkladntext3">
    <w:name w:val="Body Text 3"/>
    <w:basedOn w:val="Normln"/>
    <w:link w:val="Zkladntext3Char"/>
    <w:rsid w:val="00713E10"/>
    <w:rPr>
      <w:sz w:val="24"/>
    </w:rPr>
  </w:style>
  <w:style w:type="character" w:customStyle="1" w:styleId="Zkladntext3Char">
    <w:name w:val="Základní text 3 Char"/>
    <w:basedOn w:val="Standardnpsmoodstavce"/>
    <w:link w:val="Zkladntext3"/>
    <w:rsid w:val="00713E10"/>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rsid w:val="00713E10"/>
    <w:rPr>
      <w:color w:val="0000FF"/>
      <w:u w:val="single"/>
    </w:rPr>
  </w:style>
  <w:style w:type="paragraph" w:customStyle="1" w:styleId="bodytext">
    <w:name w:val="bodytext"/>
    <w:basedOn w:val="Normln"/>
    <w:rsid w:val="00713E10"/>
    <w:pPr>
      <w:spacing w:line="320" w:lineRule="atLeast"/>
    </w:pPr>
    <w:rPr>
      <w:sz w:val="24"/>
      <w:szCs w:val="24"/>
    </w:rPr>
  </w:style>
  <w:style w:type="paragraph" w:styleId="Zpat">
    <w:name w:val="footer"/>
    <w:basedOn w:val="Normln"/>
    <w:link w:val="ZpatChar"/>
    <w:rsid w:val="00713E10"/>
    <w:pPr>
      <w:tabs>
        <w:tab w:val="center" w:pos="4536"/>
        <w:tab w:val="right" w:pos="9072"/>
      </w:tabs>
    </w:pPr>
  </w:style>
  <w:style w:type="character" w:customStyle="1" w:styleId="ZpatChar">
    <w:name w:val="Zápatí Char"/>
    <w:basedOn w:val="Standardnpsmoodstavce"/>
    <w:link w:val="Zpat"/>
    <w:rsid w:val="00713E10"/>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rsid w:val="00713E10"/>
  </w:style>
  <w:style w:type="character" w:customStyle="1" w:styleId="info">
    <w:name w:val="info"/>
    <w:basedOn w:val="Standardnpsmoodstavce"/>
    <w:rsid w:val="00713E10"/>
  </w:style>
  <w:style w:type="table" w:styleId="Mkatabulky">
    <w:name w:val="Table Grid"/>
    <w:basedOn w:val="Normlntabulka"/>
    <w:uiPriority w:val="39"/>
    <w:rsid w:val="0071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13E10"/>
    <w:pPr>
      <w:tabs>
        <w:tab w:val="center" w:pos="4536"/>
        <w:tab w:val="right" w:pos="9072"/>
      </w:tabs>
    </w:pPr>
  </w:style>
  <w:style w:type="character" w:customStyle="1" w:styleId="ZhlavChar">
    <w:name w:val="Záhlaví Char"/>
    <w:basedOn w:val="Standardnpsmoodstavce"/>
    <w:link w:val="Zhlav"/>
    <w:uiPriority w:val="99"/>
    <w:rsid w:val="00713E10"/>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3361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Koudelný</dc:creator>
  <cp:keywords/>
  <dc:description/>
  <cp:lastModifiedBy>Milan Strya</cp:lastModifiedBy>
  <cp:revision>3</cp:revision>
  <cp:lastPrinted>2025-05-15T07:46:00Z</cp:lastPrinted>
  <dcterms:created xsi:type="dcterms:W3CDTF">2025-05-14T10:46:00Z</dcterms:created>
  <dcterms:modified xsi:type="dcterms:W3CDTF">2025-05-15T07:46:00Z</dcterms:modified>
</cp:coreProperties>
</file>