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3BD0B" w14:textId="77777777" w:rsidR="006E5653" w:rsidRDefault="00000000">
      <w:pPr>
        <w:pStyle w:val="Nzev"/>
      </w:pPr>
      <w:r>
        <w:t>DODATEK</w:t>
      </w:r>
      <w:r>
        <w:rPr>
          <w:spacing w:val="-5"/>
        </w:rPr>
        <w:t xml:space="preserve"> </w:t>
      </w:r>
      <w:r>
        <w:t>č.</w:t>
      </w:r>
      <w:r>
        <w:rPr>
          <w:spacing w:val="-5"/>
        </w:rPr>
        <w:t xml:space="preserve"> </w:t>
      </w:r>
      <w:r>
        <w:rPr>
          <w:spacing w:val="-10"/>
        </w:rPr>
        <w:t>1</w:t>
      </w:r>
    </w:p>
    <w:p w14:paraId="48E837E5" w14:textId="77777777" w:rsidR="006E5653" w:rsidRDefault="00000000">
      <w:pPr>
        <w:pStyle w:val="Nadpis2"/>
        <w:spacing w:before="256"/>
      </w:pPr>
      <w:r>
        <w:t>Zdravotnická</w:t>
      </w:r>
      <w:r>
        <w:rPr>
          <w:spacing w:val="-11"/>
        </w:rPr>
        <w:t xml:space="preserve"> </w:t>
      </w:r>
      <w:r>
        <w:t>zařízení</w:t>
      </w:r>
      <w:r>
        <w:rPr>
          <w:spacing w:val="-9"/>
        </w:rPr>
        <w:t xml:space="preserve"> </w:t>
      </w:r>
      <w:r>
        <w:t>Ministerstva</w:t>
      </w:r>
      <w:r>
        <w:rPr>
          <w:spacing w:val="-10"/>
        </w:rPr>
        <w:t xml:space="preserve"> </w:t>
      </w:r>
      <w:r>
        <w:rPr>
          <w:spacing w:val="-2"/>
        </w:rPr>
        <w:t>spravedlnosti</w:t>
      </w:r>
    </w:p>
    <w:p w14:paraId="0FB5316C" w14:textId="77777777" w:rsidR="006E5653" w:rsidRDefault="00000000">
      <w:pPr>
        <w:pStyle w:val="Zkladntext"/>
        <w:spacing w:line="252" w:lineRule="exact"/>
        <w:ind w:left="138"/>
      </w:pPr>
      <w:r>
        <w:t>IČO:</w:t>
      </w:r>
      <w:r>
        <w:rPr>
          <w:spacing w:val="-2"/>
        </w:rPr>
        <w:t xml:space="preserve"> 19738269</w:t>
      </w:r>
    </w:p>
    <w:p w14:paraId="3535BEEC" w14:textId="77777777" w:rsidR="006E5653" w:rsidRDefault="00000000">
      <w:pPr>
        <w:pStyle w:val="Zkladntext"/>
        <w:spacing w:before="1" w:line="252" w:lineRule="exact"/>
        <w:ind w:left="138"/>
      </w:pPr>
      <w:r>
        <w:t>se</w:t>
      </w:r>
      <w:r>
        <w:rPr>
          <w:spacing w:val="-4"/>
        </w:rPr>
        <w:t xml:space="preserve"> </w:t>
      </w:r>
      <w:r>
        <w:t>sídlem:</w:t>
      </w:r>
      <w:r>
        <w:rPr>
          <w:spacing w:val="-4"/>
        </w:rPr>
        <w:t xml:space="preserve"> </w:t>
      </w:r>
      <w:r>
        <w:t>Na</w:t>
      </w:r>
      <w:r>
        <w:rPr>
          <w:spacing w:val="-3"/>
        </w:rPr>
        <w:t xml:space="preserve"> </w:t>
      </w:r>
      <w:r>
        <w:t>Květnici</w:t>
      </w:r>
      <w:r>
        <w:rPr>
          <w:spacing w:val="-4"/>
        </w:rPr>
        <w:t xml:space="preserve"> </w:t>
      </w:r>
      <w:r>
        <w:t>1657/16,</w:t>
      </w:r>
      <w:r>
        <w:rPr>
          <w:spacing w:val="-5"/>
        </w:rPr>
        <w:t xml:space="preserve"> </w:t>
      </w:r>
      <w:r>
        <w:t>140</w:t>
      </w:r>
      <w:r>
        <w:rPr>
          <w:spacing w:val="-3"/>
        </w:rPr>
        <w:t xml:space="preserve"> </w:t>
      </w:r>
      <w:r>
        <w:t>00</w:t>
      </w:r>
      <w:r>
        <w:rPr>
          <w:spacing w:val="-6"/>
        </w:rPr>
        <w:t xml:space="preserve"> </w:t>
      </w:r>
      <w:r>
        <w:t>Praha</w:t>
      </w:r>
      <w:r>
        <w:rPr>
          <w:spacing w:val="-5"/>
        </w:rPr>
        <w:t xml:space="preserve"> </w:t>
      </w:r>
      <w:r>
        <w:rPr>
          <w:spacing w:val="-12"/>
        </w:rPr>
        <w:t>4</w:t>
      </w:r>
    </w:p>
    <w:p w14:paraId="69EA3089" w14:textId="77777777" w:rsidR="006E5653" w:rsidRDefault="00000000">
      <w:pPr>
        <w:pStyle w:val="Zkladntext"/>
        <w:ind w:left="138"/>
      </w:pPr>
      <w:r>
        <w:t>za něž právně jedná na základě jmenování ze dne 21. 9. 2023 ředitel MUDr. Ondřej Felix,</w:t>
      </w:r>
      <w:r>
        <w:rPr>
          <w:spacing w:val="80"/>
        </w:rPr>
        <w:t xml:space="preserve"> </w:t>
      </w:r>
      <w:r>
        <w:t>MBA, LL.M.</w:t>
      </w:r>
    </w:p>
    <w:p w14:paraId="5854D893" w14:textId="77777777" w:rsidR="006E5653" w:rsidRDefault="00000000">
      <w:pPr>
        <w:spacing w:line="480" w:lineRule="auto"/>
        <w:ind w:left="138" w:right="2933"/>
      </w:pPr>
      <w:r>
        <w:t>(dále</w:t>
      </w:r>
      <w:r>
        <w:rPr>
          <w:spacing w:val="-6"/>
        </w:rPr>
        <w:t xml:space="preserve"> </w:t>
      </w:r>
      <w:r>
        <w:t>jen</w:t>
      </w:r>
      <w:r>
        <w:rPr>
          <w:spacing w:val="-7"/>
        </w:rPr>
        <w:t xml:space="preserve"> </w:t>
      </w:r>
      <w:r>
        <w:t>„</w:t>
      </w:r>
      <w:r>
        <w:rPr>
          <w:b/>
          <w:i/>
        </w:rPr>
        <w:t>Zdravotnická</w:t>
      </w:r>
      <w:r>
        <w:rPr>
          <w:b/>
          <w:i/>
          <w:spacing w:val="-7"/>
        </w:rPr>
        <w:t xml:space="preserve"> </w:t>
      </w:r>
      <w:r>
        <w:rPr>
          <w:b/>
          <w:i/>
        </w:rPr>
        <w:t>zařízení</w:t>
      </w:r>
      <w:r>
        <w:rPr>
          <w:b/>
          <w:i/>
          <w:spacing w:val="-6"/>
        </w:rPr>
        <w:t xml:space="preserve"> </w:t>
      </w:r>
      <w:r>
        <w:rPr>
          <w:b/>
          <w:i/>
        </w:rPr>
        <w:t>Ministerstva</w:t>
      </w:r>
      <w:r>
        <w:rPr>
          <w:b/>
          <w:i/>
          <w:spacing w:val="-7"/>
        </w:rPr>
        <w:t xml:space="preserve"> </w:t>
      </w:r>
      <w:r>
        <w:rPr>
          <w:b/>
          <w:i/>
        </w:rPr>
        <w:t>spravedlnosti</w:t>
      </w:r>
      <w:r>
        <w:t xml:space="preserve">“) </w:t>
      </w:r>
      <w:r>
        <w:rPr>
          <w:spacing w:val="-10"/>
        </w:rPr>
        <w:t>a</w:t>
      </w:r>
    </w:p>
    <w:p w14:paraId="4A057351" w14:textId="77777777" w:rsidR="006E5653" w:rsidRDefault="00000000">
      <w:pPr>
        <w:pStyle w:val="Nadpis2"/>
        <w:spacing w:before="1"/>
      </w:pPr>
      <w:r>
        <w:t>Remedis,</w:t>
      </w:r>
      <w:r>
        <w:rPr>
          <w:spacing w:val="-4"/>
        </w:rPr>
        <w:t xml:space="preserve"> </w:t>
      </w:r>
      <w:r>
        <w:rPr>
          <w:spacing w:val="-2"/>
        </w:rPr>
        <w:t>s.r.o.</w:t>
      </w:r>
    </w:p>
    <w:p w14:paraId="4E25C430" w14:textId="77777777" w:rsidR="006E5653" w:rsidRDefault="00000000">
      <w:pPr>
        <w:pStyle w:val="Zkladntext"/>
        <w:spacing w:line="252" w:lineRule="exact"/>
        <w:ind w:left="138"/>
      </w:pPr>
      <w:r>
        <w:t>IČO:</w:t>
      </w:r>
      <w:r>
        <w:rPr>
          <w:spacing w:val="-2"/>
        </w:rPr>
        <w:t xml:space="preserve"> 25625667</w:t>
      </w:r>
    </w:p>
    <w:p w14:paraId="19E45682" w14:textId="77777777" w:rsidR="006E5653" w:rsidRDefault="00000000">
      <w:pPr>
        <w:pStyle w:val="Zkladntext"/>
        <w:spacing w:before="1" w:line="252" w:lineRule="exact"/>
        <w:ind w:left="138"/>
      </w:pPr>
      <w:r>
        <w:t>se</w:t>
      </w:r>
      <w:r>
        <w:rPr>
          <w:spacing w:val="-6"/>
        </w:rPr>
        <w:t xml:space="preserve"> </w:t>
      </w:r>
      <w:r>
        <w:t>sídlem:</w:t>
      </w:r>
      <w:r>
        <w:rPr>
          <w:spacing w:val="-3"/>
        </w:rPr>
        <w:t xml:space="preserve"> </w:t>
      </w:r>
      <w:r>
        <w:t>Táborská</w:t>
      </w:r>
      <w:r>
        <w:rPr>
          <w:spacing w:val="-3"/>
        </w:rPr>
        <w:t xml:space="preserve"> </w:t>
      </w:r>
      <w:r>
        <w:t>325/57,</w:t>
      </w:r>
      <w:r>
        <w:rPr>
          <w:spacing w:val="-4"/>
        </w:rPr>
        <w:t xml:space="preserve"> </w:t>
      </w:r>
      <w:r>
        <w:t>140</w:t>
      </w:r>
      <w:r>
        <w:rPr>
          <w:spacing w:val="-3"/>
        </w:rPr>
        <w:t xml:space="preserve"> </w:t>
      </w:r>
      <w:r>
        <w:t>00</w:t>
      </w:r>
      <w:r>
        <w:rPr>
          <w:spacing w:val="-5"/>
        </w:rPr>
        <w:t xml:space="preserve"> </w:t>
      </w:r>
      <w:r>
        <w:t>Praha</w:t>
      </w:r>
      <w:r>
        <w:rPr>
          <w:spacing w:val="-4"/>
        </w:rPr>
        <w:t xml:space="preserve"> </w:t>
      </w:r>
      <w:r>
        <w:t>4</w:t>
      </w:r>
      <w:r>
        <w:rPr>
          <w:spacing w:val="-2"/>
        </w:rPr>
        <w:t xml:space="preserve"> </w:t>
      </w:r>
      <w:r>
        <w:t>–</w:t>
      </w:r>
      <w:r>
        <w:rPr>
          <w:spacing w:val="-4"/>
        </w:rPr>
        <w:t xml:space="preserve"> Nusle</w:t>
      </w:r>
    </w:p>
    <w:p w14:paraId="67D7705F" w14:textId="77777777" w:rsidR="006E5653" w:rsidRDefault="00000000">
      <w:pPr>
        <w:pStyle w:val="Zkladntext"/>
        <w:ind w:left="138" w:right="640"/>
      </w:pPr>
      <w:r>
        <w:t>zápis</w:t>
      </w:r>
      <w:r>
        <w:rPr>
          <w:spacing w:val="-2"/>
        </w:rPr>
        <w:t xml:space="preserve"> </w:t>
      </w:r>
      <w:r>
        <w:t>v</w:t>
      </w:r>
      <w:r>
        <w:rPr>
          <w:spacing w:val="-2"/>
        </w:rPr>
        <w:t xml:space="preserve"> </w:t>
      </w:r>
      <w:r>
        <w:t>obchodním</w:t>
      </w:r>
      <w:r>
        <w:rPr>
          <w:spacing w:val="-4"/>
        </w:rPr>
        <w:t xml:space="preserve"> </w:t>
      </w:r>
      <w:r>
        <w:t>rejstříku:</w:t>
      </w:r>
      <w:r>
        <w:rPr>
          <w:spacing w:val="-4"/>
        </w:rPr>
        <w:t xml:space="preserve"> </w:t>
      </w:r>
      <w:r>
        <w:t>Městským</w:t>
      </w:r>
      <w:r>
        <w:rPr>
          <w:spacing w:val="-2"/>
        </w:rPr>
        <w:t xml:space="preserve"> </w:t>
      </w:r>
      <w:r>
        <w:t>soudem</w:t>
      </w:r>
      <w:r>
        <w:rPr>
          <w:spacing w:val="-4"/>
        </w:rPr>
        <w:t xml:space="preserve"> </w:t>
      </w:r>
      <w:r>
        <w:t>v</w:t>
      </w:r>
      <w:r>
        <w:rPr>
          <w:spacing w:val="-3"/>
        </w:rPr>
        <w:t xml:space="preserve"> </w:t>
      </w:r>
      <w:r>
        <w:t>Praze</w:t>
      </w:r>
      <w:r>
        <w:rPr>
          <w:spacing w:val="-3"/>
        </w:rPr>
        <w:t xml:space="preserve"> </w:t>
      </w:r>
      <w:r>
        <w:t>pod</w:t>
      </w:r>
      <w:r>
        <w:rPr>
          <w:spacing w:val="-5"/>
        </w:rPr>
        <w:t xml:space="preserve"> </w:t>
      </w:r>
      <w:r>
        <w:t>sp.</w:t>
      </w:r>
      <w:r>
        <w:rPr>
          <w:spacing w:val="-4"/>
        </w:rPr>
        <w:t xml:space="preserve"> </w:t>
      </w:r>
      <w:r>
        <w:t>zn.</w:t>
      </w:r>
      <w:r>
        <w:rPr>
          <w:spacing w:val="-1"/>
        </w:rPr>
        <w:t xml:space="preserve"> </w:t>
      </w:r>
      <w:r>
        <w:t>C</w:t>
      </w:r>
      <w:r>
        <w:rPr>
          <w:spacing w:val="-3"/>
        </w:rPr>
        <w:t xml:space="preserve"> </w:t>
      </w:r>
      <w:r>
        <w:t>55892 zastoupená MUDr. Vratislavem Řehákem, jednatelem</w:t>
      </w:r>
    </w:p>
    <w:p w14:paraId="4EFEE0BA" w14:textId="77777777" w:rsidR="006E5653" w:rsidRDefault="00000000">
      <w:pPr>
        <w:spacing w:before="1"/>
        <w:ind w:left="138"/>
      </w:pPr>
      <w:r>
        <w:t>(dále</w:t>
      </w:r>
      <w:r>
        <w:rPr>
          <w:spacing w:val="-3"/>
        </w:rPr>
        <w:t xml:space="preserve"> </w:t>
      </w:r>
      <w:r>
        <w:t>jen</w:t>
      </w:r>
      <w:r>
        <w:rPr>
          <w:spacing w:val="-3"/>
        </w:rPr>
        <w:t xml:space="preserve"> </w:t>
      </w:r>
      <w:r>
        <w:rPr>
          <w:spacing w:val="-2"/>
        </w:rPr>
        <w:t>„</w:t>
      </w:r>
      <w:r>
        <w:rPr>
          <w:b/>
          <w:i/>
          <w:spacing w:val="-2"/>
        </w:rPr>
        <w:t>Poskytovatel</w:t>
      </w:r>
      <w:r>
        <w:rPr>
          <w:spacing w:val="-2"/>
        </w:rPr>
        <w:t>“)</w:t>
      </w:r>
    </w:p>
    <w:p w14:paraId="23000ED9" w14:textId="77777777" w:rsidR="006E5653" w:rsidRDefault="006E5653">
      <w:pPr>
        <w:pStyle w:val="Zkladntext"/>
        <w:ind w:left="0"/>
      </w:pPr>
    </w:p>
    <w:p w14:paraId="5446550D" w14:textId="77777777" w:rsidR="006E5653" w:rsidRDefault="00000000">
      <w:pPr>
        <w:pStyle w:val="Zkladntext"/>
        <w:ind w:left="138"/>
      </w:pPr>
      <w:r>
        <w:t>(Zdravotnická zařízení Ministerstva spravedlnosti a Poskytovatel společně dále jen „</w:t>
      </w:r>
      <w:r>
        <w:rPr>
          <w:b/>
          <w:i/>
        </w:rPr>
        <w:t>Strany</w:t>
      </w:r>
      <w:r>
        <w:t>“ nebo každý jednotlivě „</w:t>
      </w:r>
      <w:r>
        <w:rPr>
          <w:b/>
          <w:i/>
        </w:rPr>
        <w:t>Strana</w:t>
      </w:r>
      <w:r>
        <w:t>“)</w:t>
      </w:r>
    </w:p>
    <w:p w14:paraId="2939B2BC" w14:textId="77777777" w:rsidR="006E5653" w:rsidRDefault="006E5653">
      <w:pPr>
        <w:pStyle w:val="Zkladntext"/>
        <w:ind w:left="0"/>
      </w:pPr>
    </w:p>
    <w:p w14:paraId="258A9610" w14:textId="77777777" w:rsidR="006E5653" w:rsidRDefault="00000000">
      <w:pPr>
        <w:pStyle w:val="Zkladntext"/>
        <w:ind w:left="138"/>
      </w:pPr>
      <w:r>
        <w:t>uzavírají</w:t>
      </w:r>
      <w:r>
        <w:rPr>
          <w:spacing w:val="-8"/>
        </w:rPr>
        <w:t xml:space="preserve"> </w:t>
      </w:r>
      <w:r>
        <w:rPr>
          <w:spacing w:val="-2"/>
        </w:rPr>
        <w:t>tento</w:t>
      </w:r>
    </w:p>
    <w:p w14:paraId="50ABAD64" w14:textId="77777777" w:rsidR="006E5653" w:rsidRDefault="006E5653">
      <w:pPr>
        <w:pStyle w:val="Zkladntext"/>
        <w:ind w:left="0"/>
      </w:pPr>
    </w:p>
    <w:p w14:paraId="6527BD67" w14:textId="77777777" w:rsidR="006E5653" w:rsidRDefault="00000000">
      <w:pPr>
        <w:pStyle w:val="Nadpis2"/>
        <w:spacing w:line="240" w:lineRule="auto"/>
      </w:pPr>
      <w:r>
        <w:t>dodatek</w:t>
      </w:r>
      <w:r>
        <w:rPr>
          <w:spacing w:val="-4"/>
        </w:rPr>
        <w:t xml:space="preserve"> </w:t>
      </w:r>
      <w:r>
        <w:t>č.</w:t>
      </w:r>
      <w:r>
        <w:rPr>
          <w:spacing w:val="-2"/>
        </w:rPr>
        <w:t xml:space="preserve"> </w:t>
      </w:r>
      <w:r>
        <w:rPr>
          <w:spacing w:val="-10"/>
        </w:rPr>
        <w:t>1</w:t>
      </w:r>
    </w:p>
    <w:p w14:paraId="4099FDB9" w14:textId="77777777" w:rsidR="006E5653" w:rsidRDefault="00000000">
      <w:pPr>
        <w:pStyle w:val="Zkladntext"/>
        <w:spacing w:before="251" w:line="480" w:lineRule="auto"/>
        <w:ind w:left="138" w:right="4816"/>
      </w:pPr>
      <w:r>
        <w:t>ke</w:t>
      </w:r>
      <w:r>
        <w:rPr>
          <w:spacing w:val="-4"/>
        </w:rPr>
        <w:t xml:space="preserve"> </w:t>
      </w:r>
      <w:r>
        <w:t>koncesní</w:t>
      </w:r>
      <w:r>
        <w:rPr>
          <w:spacing w:val="-2"/>
        </w:rPr>
        <w:t xml:space="preserve"> </w:t>
      </w:r>
      <w:r>
        <w:t>smlouvě</w:t>
      </w:r>
      <w:r>
        <w:rPr>
          <w:spacing w:val="-6"/>
        </w:rPr>
        <w:t xml:space="preserve"> </w:t>
      </w:r>
      <w:r>
        <w:t>ze</w:t>
      </w:r>
      <w:r>
        <w:rPr>
          <w:spacing w:val="-6"/>
        </w:rPr>
        <w:t xml:space="preserve"> </w:t>
      </w:r>
      <w:r>
        <w:t>dne</w:t>
      </w:r>
      <w:r>
        <w:rPr>
          <w:spacing w:val="-4"/>
        </w:rPr>
        <w:t xml:space="preserve"> </w:t>
      </w:r>
      <w:r>
        <w:t>18.</w:t>
      </w:r>
      <w:r>
        <w:rPr>
          <w:spacing w:val="-5"/>
        </w:rPr>
        <w:t xml:space="preserve"> </w:t>
      </w:r>
      <w:r>
        <w:t>5.</w:t>
      </w:r>
      <w:r>
        <w:rPr>
          <w:spacing w:val="-5"/>
        </w:rPr>
        <w:t xml:space="preserve"> </w:t>
      </w:r>
      <w:r>
        <w:t>2021 (dále jen „</w:t>
      </w:r>
      <w:r>
        <w:rPr>
          <w:b/>
          <w:i/>
        </w:rPr>
        <w:t>Dodatek</w:t>
      </w:r>
      <w:r>
        <w:t>“):</w:t>
      </w:r>
    </w:p>
    <w:p w14:paraId="6EA76BDC" w14:textId="77777777" w:rsidR="006E5653" w:rsidRDefault="00000000">
      <w:pPr>
        <w:pStyle w:val="Nadpis1"/>
        <w:numPr>
          <w:ilvl w:val="0"/>
          <w:numId w:val="1"/>
        </w:numPr>
        <w:tabs>
          <w:tab w:val="left" w:pos="846"/>
        </w:tabs>
        <w:spacing w:before="109"/>
      </w:pPr>
      <w:r>
        <w:t>ÚVODNÍ</w:t>
      </w:r>
      <w:r>
        <w:rPr>
          <w:spacing w:val="-5"/>
        </w:rPr>
        <w:t xml:space="preserve"> </w:t>
      </w:r>
      <w:r>
        <w:rPr>
          <w:spacing w:val="-2"/>
        </w:rPr>
        <w:t>USTANOVENÍ</w:t>
      </w:r>
    </w:p>
    <w:p w14:paraId="27E1C5F8" w14:textId="77777777" w:rsidR="006E5653" w:rsidRDefault="00000000">
      <w:pPr>
        <w:pStyle w:val="Odstavecseseznamem"/>
        <w:numPr>
          <w:ilvl w:val="1"/>
          <w:numId w:val="1"/>
        </w:numPr>
        <w:tabs>
          <w:tab w:val="left" w:pos="858"/>
        </w:tabs>
        <w:ind w:right="109"/>
        <w:jc w:val="both"/>
      </w:pPr>
      <w:r>
        <w:t>Česká republika – Vězeňská služba České republiky, IČ: 00212423, se sídlem: Soudní 1672/1a, 140 67 Praha 4 (dále jen „</w:t>
      </w:r>
      <w:r>
        <w:rPr>
          <w:b/>
          <w:i/>
        </w:rPr>
        <w:t>Vězeňská služba České republiky</w:t>
      </w:r>
      <w:r>
        <w:t>“) uzavřela s</w:t>
      </w:r>
      <w:r>
        <w:rPr>
          <w:spacing w:val="-1"/>
        </w:rPr>
        <w:t xml:space="preserve"> </w:t>
      </w:r>
      <w:r>
        <w:t>Poskytovatelem koncesní smlouvu dne 18. 5. 2021 pod č. j. VS-264462- 31/ČJ-2019-800097-VERZAK, a</w:t>
      </w:r>
      <w:r>
        <w:rPr>
          <w:spacing w:val="-3"/>
        </w:rPr>
        <w:t xml:space="preserve"> </w:t>
      </w:r>
      <w:r>
        <w:t>to s</w:t>
      </w:r>
      <w:r>
        <w:rPr>
          <w:spacing w:val="-3"/>
        </w:rPr>
        <w:t xml:space="preserve"> </w:t>
      </w:r>
      <w:r>
        <w:t>cílem</w:t>
      </w:r>
      <w:r>
        <w:rPr>
          <w:spacing w:val="-1"/>
        </w:rPr>
        <w:t xml:space="preserve"> </w:t>
      </w:r>
      <w:r>
        <w:t>zajistit léčbu a</w:t>
      </w:r>
      <w:r>
        <w:rPr>
          <w:spacing w:val="-3"/>
        </w:rPr>
        <w:t xml:space="preserve"> </w:t>
      </w:r>
      <w:r>
        <w:t>související</w:t>
      </w:r>
      <w:r>
        <w:rPr>
          <w:spacing w:val="-1"/>
        </w:rPr>
        <w:t xml:space="preserve"> </w:t>
      </w:r>
      <w:r>
        <w:t>zdravotní</w:t>
      </w:r>
      <w:r>
        <w:rPr>
          <w:spacing w:val="-2"/>
        </w:rPr>
        <w:t xml:space="preserve"> </w:t>
      </w:r>
      <w:r>
        <w:t>služby pro osoby ve výkonu vazby, trestu odnětí svobody nebo zabezpečovací detence, u kterých bylo prokázáno infekční onemocnění hepatitidou typu B a C, a to ve všech vazebních věznicích, věznicích a detenčních ústavech (dále jen „</w:t>
      </w:r>
      <w:r>
        <w:rPr>
          <w:b/>
          <w:i/>
        </w:rPr>
        <w:t>Koncesní smlouva</w:t>
      </w:r>
      <w:r>
        <w:t>“). Koncesní smlouva byla</w:t>
      </w:r>
      <w:r>
        <w:rPr>
          <w:spacing w:val="-1"/>
        </w:rPr>
        <w:t xml:space="preserve"> </w:t>
      </w:r>
      <w:r>
        <w:t>uzavřena</w:t>
      </w:r>
      <w:r>
        <w:rPr>
          <w:spacing w:val="-1"/>
        </w:rPr>
        <w:t xml:space="preserve"> </w:t>
      </w:r>
      <w:r>
        <w:t>na</w:t>
      </w:r>
      <w:r>
        <w:rPr>
          <w:spacing w:val="-1"/>
        </w:rPr>
        <w:t xml:space="preserve"> </w:t>
      </w:r>
      <w:r>
        <w:t>základě koncesního</w:t>
      </w:r>
      <w:r>
        <w:rPr>
          <w:spacing w:val="-1"/>
        </w:rPr>
        <w:t xml:space="preserve"> </w:t>
      </w:r>
      <w:r>
        <w:t>řízení s</w:t>
      </w:r>
      <w:r>
        <w:rPr>
          <w:spacing w:val="-3"/>
        </w:rPr>
        <w:t xml:space="preserve"> </w:t>
      </w:r>
      <w:r>
        <w:t>názvem</w:t>
      </w:r>
    </w:p>
    <w:p w14:paraId="1B747611" w14:textId="77777777" w:rsidR="006E5653" w:rsidRDefault="00000000">
      <w:pPr>
        <w:ind w:left="858" w:right="111"/>
        <w:jc w:val="both"/>
      </w:pPr>
      <w:r>
        <w:t>„</w:t>
      </w:r>
      <w:r>
        <w:rPr>
          <w:i/>
        </w:rPr>
        <w:t>Koncese na poskytování zdravotních služeb pro léčbu hepatitidy</w:t>
      </w:r>
      <w:r>
        <w:t>“ uskutečněného Vězeňskou službou České republiky dle zákona č. 134/2016 Sb., o zadávání veřejných zakázek, ve znění pozdějších předpisů (dále jen „</w:t>
      </w:r>
      <w:r>
        <w:rPr>
          <w:b/>
          <w:i/>
        </w:rPr>
        <w:t>ZZVZ</w:t>
      </w:r>
      <w:r>
        <w:t>“).</w:t>
      </w:r>
    </w:p>
    <w:p w14:paraId="5DE21BC7" w14:textId="77777777" w:rsidR="006E5653" w:rsidRDefault="00000000">
      <w:pPr>
        <w:pStyle w:val="Odstavecseseznamem"/>
        <w:numPr>
          <w:ilvl w:val="1"/>
          <w:numId w:val="1"/>
        </w:numPr>
        <w:tabs>
          <w:tab w:val="left" w:pos="858"/>
        </w:tabs>
        <w:spacing w:before="242"/>
        <w:ind w:right="111"/>
        <w:jc w:val="both"/>
      </w:pPr>
      <w:r>
        <w:t>Rozhodnutím ministra spravedlnosti ze dne 1. října 2024 č.j. MSP-119/2023-OIM- E/30 a Dodatku č. 2 ke Zřizovací listině č.j. MSP 119/2003-OIM-E/18 o rozšíření činností a působnosti státní příspěvkové organizace Zdravotnická zařízení Ministerstva spravedlnosti od 1. 4. 2025 došlo k</w:t>
      </w:r>
      <w:r>
        <w:rPr>
          <w:spacing w:val="-1"/>
        </w:rPr>
        <w:t xml:space="preserve"> </w:t>
      </w:r>
      <w:r>
        <w:t>převodu činnosti zajištění léčby a souvisejících zdravotních služeb, které jsou předmětem Koncesní smlouvy, na Zdravotnická zařízení Ministerstva spravedlnosti.</w:t>
      </w:r>
    </w:p>
    <w:p w14:paraId="46508493" w14:textId="77777777" w:rsidR="006E5653" w:rsidRDefault="00000000">
      <w:pPr>
        <w:pStyle w:val="Odstavecseseznamem"/>
        <w:numPr>
          <w:ilvl w:val="1"/>
          <w:numId w:val="1"/>
        </w:numPr>
        <w:tabs>
          <w:tab w:val="left" w:pos="858"/>
        </w:tabs>
        <w:ind w:right="111"/>
        <w:jc w:val="both"/>
      </w:pPr>
      <w:r>
        <w:t>Vězeňská služba České republiky a Strany uzavřely dne 16. 5. 2025 dohodu o postoupení</w:t>
      </w:r>
      <w:r>
        <w:rPr>
          <w:spacing w:val="80"/>
        </w:rPr>
        <w:t xml:space="preserve"> </w:t>
      </w:r>
      <w:r>
        <w:t>(dále</w:t>
      </w:r>
      <w:r>
        <w:rPr>
          <w:spacing w:val="80"/>
        </w:rPr>
        <w:t xml:space="preserve"> </w:t>
      </w:r>
      <w:r>
        <w:t>jen</w:t>
      </w:r>
      <w:r>
        <w:rPr>
          <w:spacing w:val="80"/>
        </w:rPr>
        <w:t xml:space="preserve"> </w:t>
      </w:r>
      <w:r>
        <w:t>„</w:t>
      </w:r>
      <w:r>
        <w:rPr>
          <w:b/>
          <w:i/>
        </w:rPr>
        <w:t>Dohoda</w:t>
      </w:r>
      <w:r>
        <w:t>“),</w:t>
      </w:r>
      <w:r>
        <w:rPr>
          <w:spacing w:val="80"/>
        </w:rPr>
        <w:t xml:space="preserve"> </w:t>
      </w:r>
      <w:r>
        <w:t>kterou</w:t>
      </w:r>
      <w:r>
        <w:rPr>
          <w:spacing w:val="80"/>
        </w:rPr>
        <w:t xml:space="preserve"> </w:t>
      </w:r>
      <w:r>
        <w:t>došlo</w:t>
      </w:r>
      <w:r>
        <w:rPr>
          <w:spacing w:val="80"/>
        </w:rPr>
        <w:t xml:space="preserve"> </w:t>
      </w:r>
      <w:r>
        <w:t>k postoupení</w:t>
      </w:r>
      <w:r>
        <w:rPr>
          <w:spacing w:val="80"/>
        </w:rPr>
        <w:t xml:space="preserve"> </w:t>
      </w:r>
      <w:r>
        <w:t>Koncesní</w:t>
      </w:r>
      <w:r>
        <w:rPr>
          <w:spacing w:val="80"/>
        </w:rPr>
        <w:t xml:space="preserve"> </w:t>
      </w:r>
      <w:r>
        <w:t>smlouvy</w:t>
      </w:r>
      <w:r>
        <w:rPr>
          <w:spacing w:val="40"/>
        </w:rPr>
        <w:t xml:space="preserve"> </w:t>
      </w:r>
      <w:r>
        <w:t>z Vězeňské služby České republiky na Zdravotnická zařízení Ministerstva spravedlnosti s účinností od 16. 5. 2025. Zdravotnická zařízení Ministerstva spravedlnosti tudíž vstoupila</w:t>
      </w:r>
      <w:r>
        <w:rPr>
          <w:spacing w:val="19"/>
        </w:rPr>
        <w:t xml:space="preserve"> </w:t>
      </w:r>
      <w:r>
        <w:t>do</w:t>
      </w:r>
      <w:r>
        <w:rPr>
          <w:spacing w:val="18"/>
        </w:rPr>
        <w:t xml:space="preserve"> </w:t>
      </w:r>
      <w:r>
        <w:t>práv a povinností</w:t>
      </w:r>
      <w:r>
        <w:rPr>
          <w:spacing w:val="18"/>
        </w:rPr>
        <w:t xml:space="preserve"> </w:t>
      </w:r>
      <w:r>
        <w:t>Vězeňské služby</w:t>
      </w:r>
      <w:r>
        <w:rPr>
          <w:spacing w:val="22"/>
        </w:rPr>
        <w:t xml:space="preserve"> </w:t>
      </w:r>
      <w:r>
        <w:t>České republiky</w:t>
      </w:r>
      <w:r>
        <w:rPr>
          <w:spacing w:val="40"/>
        </w:rPr>
        <w:t xml:space="preserve"> </w:t>
      </w:r>
      <w:r>
        <w:t>z Koncesní smlouvy.</w:t>
      </w:r>
    </w:p>
    <w:p w14:paraId="19FAC8BB" w14:textId="77777777" w:rsidR="006E5653" w:rsidRDefault="006E5653">
      <w:pPr>
        <w:jc w:val="both"/>
        <w:sectPr w:rsidR="006E5653">
          <w:type w:val="continuous"/>
          <w:pgSz w:w="11910" w:h="16840"/>
          <w:pgMar w:top="1040" w:right="1300" w:bottom="280" w:left="1280" w:header="708" w:footer="708" w:gutter="0"/>
          <w:cols w:space="708"/>
        </w:sectPr>
      </w:pPr>
    </w:p>
    <w:p w14:paraId="44F372CB" w14:textId="77777777" w:rsidR="006E5653" w:rsidRDefault="00000000">
      <w:pPr>
        <w:pStyle w:val="Odstavecseseznamem"/>
        <w:numPr>
          <w:ilvl w:val="1"/>
          <w:numId w:val="1"/>
        </w:numPr>
        <w:tabs>
          <w:tab w:val="left" w:pos="858"/>
        </w:tabs>
        <w:spacing w:before="74"/>
        <w:ind w:right="114"/>
        <w:jc w:val="both"/>
      </w:pPr>
      <w:r>
        <w:lastRenderedPageBreak/>
        <w:t>Zdravotnická</w:t>
      </w:r>
      <w:r>
        <w:rPr>
          <w:spacing w:val="-4"/>
        </w:rPr>
        <w:t xml:space="preserve"> </w:t>
      </w:r>
      <w:r>
        <w:t>zařízení</w:t>
      </w:r>
      <w:r>
        <w:rPr>
          <w:spacing w:val="-2"/>
        </w:rPr>
        <w:t xml:space="preserve"> </w:t>
      </w:r>
      <w:r>
        <w:t>Ministerstva</w:t>
      </w:r>
      <w:r>
        <w:rPr>
          <w:spacing w:val="-1"/>
        </w:rPr>
        <w:t xml:space="preserve"> </w:t>
      </w:r>
      <w:r>
        <w:t>spravedlnosti</w:t>
      </w:r>
      <w:r>
        <w:rPr>
          <w:spacing w:val="-2"/>
        </w:rPr>
        <w:t xml:space="preserve"> </w:t>
      </w:r>
      <w:r>
        <w:t>a</w:t>
      </w:r>
      <w:r>
        <w:rPr>
          <w:spacing w:val="-1"/>
        </w:rPr>
        <w:t xml:space="preserve"> </w:t>
      </w:r>
      <w:r>
        <w:t>Poskytovatel</w:t>
      </w:r>
      <w:r>
        <w:rPr>
          <w:spacing w:val="-3"/>
        </w:rPr>
        <w:t xml:space="preserve"> </w:t>
      </w:r>
      <w:r>
        <w:t>souhlasně</w:t>
      </w:r>
      <w:r>
        <w:rPr>
          <w:spacing w:val="-1"/>
        </w:rPr>
        <w:t xml:space="preserve"> </w:t>
      </w:r>
      <w:r>
        <w:t xml:space="preserve">prohlašují, </w:t>
      </w:r>
      <w:r>
        <w:rPr>
          <w:spacing w:val="-4"/>
        </w:rPr>
        <w:t>že:</w:t>
      </w:r>
    </w:p>
    <w:p w14:paraId="4A87ACD0" w14:textId="77777777" w:rsidR="006E5653" w:rsidRDefault="00000000">
      <w:pPr>
        <w:pStyle w:val="Odstavecseseznamem"/>
        <w:numPr>
          <w:ilvl w:val="2"/>
          <w:numId w:val="1"/>
        </w:numPr>
        <w:tabs>
          <w:tab w:val="left" w:pos="1567"/>
          <w:tab w:val="left" w:pos="1569"/>
        </w:tabs>
        <w:spacing w:before="241"/>
        <w:ind w:right="112"/>
        <w:jc w:val="both"/>
      </w:pPr>
      <w:r>
        <w:t>Koncesní smlouva nabyla účinnosti dne 2. 6. 2021 uveřejněním v</w:t>
      </w:r>
      <w:r>
        <w:rPr>
          <w:spacing w:val="-4"/>
        </w:rPr>
        <w:t xml:space="preserve"> </w:t>
      </w:r>
      <w:r>
        <w:t>registru smluv (ID verze: 16783927) v</w:t>
      </w:r>
      <w:r>
        <w:rPr>
          <w:spacing w:val="-4"/>
        </w:rPr>
        <w:t xml:space="preserve"> </w:t>
      </w:r>
      <w:r>
        <w:t>souladu s § 6 odst. 1 zákona č. 340/2015 Sb., o registru smluv, ve znění pozdějších předpisů;</w:t>
      </w:r>
    </w:p>
    <w:p w14:paraId="51FD83F3" w14:textId="77777777" w:rsidR="006E5653" w:rsidRDefault="00000000">
      <w:pPr>
        <w:pStyle w:val="Odstavecseseznamem"/>
        <w:numPr>
          <w:ilvl w:val="2"/>
          <w:numId w:val="1"/>
        </w:numPr>
        <w:tabs>
          <w:tab w:val="left" w:pos="1567"/>
        </w:tabs>
        <w:spacing w:before="122"/>
        <w:ind w:left="1567" w:hanging="718"/>
        <w:jc w:val="both"/>
      </w:pPr>
      <w:r>
        <w:t>Koncesní</w:t>
      </w:r>
      <w:r>
        <w:rPr>
          <w:spacing w:val="-5"/>
        </w:rPr>
        <w:t xml:space="preserve"> </w:t>
      </w:r>
      <w:r>
        <w:t>smlouvu</w:t>
      </w:r>
      <w:r>
        <w:rPr>
          <w:spacing w:val="-6"/>
        </w:rPr>
        <w:t xml:space="preserve"> </w:t>
      </w:r>
      <w:r>
        <w:t>nebyla</w:t>
      </w:r>
      <w:r>
        <w:rPr>
          <w:spacing w:val="-6"/>
        </w:rPr>
        <w:t xml:space="preserve"> </w:t>
      </w:r>
      <w:r>
        <w:t>vypovězena,</w:t>
      </w:r>
      <w:r>
        <w:rPr>
          <w:spacing w:val="-4"/>
        </w:rPr>
        <w:t xml:space="preserve"> </w:t>
      </w:r>
      <w:r>
        <w:t>ani</w:t>
      </w:r>
      <w:r>
        <w:rPr>
          <w:spacing w:val="-9"/>
        </w:rPr>
        <w:t xml:space="preserve"> </w:t>
      </w:r>
      <w:r>
        <w:t>od</w:t>
      </w:r>
      <w:r>
        <w:rPr>
          <w:spacing w:val="-6"/>
        </w:rPr>
        <w:t xml:space="preserve"> </w:t>
      </w:r>
      <w:r>
        <w:t>ní</w:t>
      </w:r>
      <w:r>
        <w:rPr>
          <w:spacing w:val="-6"/>
        </w:rPr>
        <w:t xml:space="preserve"> </w:t>
      </w:r>
      <w:r>
        <w:t>nebylo</w:t>
      </w:r>
      <w:r>
        <w:rPr>
          <w:spacing w:val="-6"/>
        </w:rPr>
        <w:t xml:space="preserve"> </w:t>
      </w:r>
      <w:r>
        <w:rPr>
          <w:spacing w:val="-2"/>
        </w:rPr>
        <w:t>odstoupeno;</w:t>
      </w:r>
    </w:p>
    <w:p w14:paraId="05BBD9B2" w14:textId="77777777" w:rsidR="006E5653" w:rsidRDefault="00000000">
      <w:pPr>
        <w:pStyle w:val="Odstavecseseznamem"/>
        <w:numPr>
          <w:ilvl w:val="2"/>
          <w:numId w:val="1"/>
        </w:numPr>
        <w:tabs>
          <w:tab w:val="left" w:pos="1567"/>
          <w:tab w:val="left" w:pos="1569"/>
        </w:tabs>
        <w:spacing w:before="119"/>
        <w:ind w:right="111"/>
        <w:jc w:val="both"/>
      </w:pPr>
      <w:r>
        <w:t>Koncesní smlouva je ke dni uzavření tohoto Dodatku účinná a Poskytovatel</w:t>
      </w:r>
      <w:r>
        <w:rPr>
          <w:spacing w:val="80"/>
        </w:rPr>
        <w:t xml:space="preserve"> </w:t>
      </w:r>
      <w:r>
        <w:t>na jejím základě poskytuje léčbu a související zdravotní služby.</w:t>
      </w:r>
    </w:p>
    <w:p w14:paraId="129B4208" w14:textId="77777777" w:rsidR="006E5653" w:rsidRDefault="00000000">
      <w:pPr>
        <w:pStyle w:val="Odstavecseseznamem"/>
        <w:numPr>
          <w:ilvl w:val="1"/>
          <w:numId w:val="1"/>
        </w:numPr>
        <w:tabs>
          <w:tab w:val="left" w:pos="858"/>
        </w:tabs>
        <w:spacing w:before="120"/>
        <w:ind w:right="113"/>
        <w:jc w:val="both"/>
      </w:pPr>
      <w:r>
        <w:t>Zdravotnická zařízení Ministerstva spravedlnosti připravují nové řízení dle ZZVZ na zajištění poskytování plnění (zdravotní péče), které je předmětem Koncesní smlouvy. Účelem tohoto Dodatku je zajištění zdravotní péče dle Koncesní smlouvy do výběru nového poskytovatele v souladu se ZZVZ.</w:t>
      </w:r>
    </w:p>
    <w:p w14:paraId="6940E181" w14:textId="77777777" w:rsidR="006E5653" w:rsidRDefault="006E5653">
      <w:pPr>
        <w:pStyle w:val="Zkladntext"/>
        <w:spacing w:before="106"/>
        <w:ind w:left="0"/>
      </w:pPr>
    </w:p>
    <w:p w14:paraId="7917FF55" w14:textId="77777777" w:rsidR="006E5653" w:rsidRDefault="00000000">
      <w:pPr>
        <w:pStyle w:val="Nadpis1"/>
        <w:numPr>
          <w:ilvl w:val="0"/>
          <w:numId w:val="1"/>
        </w:numPr>
        <w:tabs>
          <w:tab w:val="left" w:pos="846"/>
        </w:tabs>
      </w:pPr>
      <w:r>
        <w:t>ZMĚNA</w:t>
      </w:r>
      <w:r>
        <w:rPr>
          <w:spacing w:val="-16"/>
        </w:rPr>
        <w:t xml:space="preserve"> </w:t>
      </w:r>
      <w:r>
        <w:t>KONCESNÍ</w:t>
      </w:r>
      <w:r>
        <w:rPr>
          <w:spacing w:val="-7"/>
        </w:rPr>
        <w:t xml:space="preserve"> </w:t>
      </w:r>
      <w:r>
        <w:rPr>
          <w:spacing w:val="-2"/>
        </w:rPr>
        <w:t>SMLOUVY</w:t>
      </w:r>
    </w:p>
    <w:p w14:paraId="28AB482E" w14:textId="77777777" w:rsidR="006E5653" w:rsidRDefault="00000000">
      <w:pPr>
        <w:pStyle w:val="Odstavecseseznamem"/>
        <w:numPr>
          <w:ilvl w:val="1"/>
          <w:numId w:val="1"/>
        </w:numPr>
        <w:tabs>
          <w:tab w:val="left" w:pos="858"/>
        </w:tabs>
        <w:spacing w:before="242"/>
        <w:ind w:right="109"/>
        <w:jc w:val="both"/>
      </w:pPr>
      <w:r>
        <w:t>V</w:t>
      </w:r>
      <w:r>
        <w:rPr>
          <w:spacing w:val="-3"/>
        </w:rPr>
        <w:t xml:space="preserve"> </w:t>
      </w:r>
      <w:r>
        <w:t>návaznosti na singulární sukcesi Strany v</w:t>
      </w:r>
      <w:r>
        <w:rPr>
          <w:spacing w:val="-2"/>
        </w:rPr>
        <w:t xml:space="preserve"> </w:t>
      </w:r>
      <w:r>
        <w:t>Koncesní smlouvě pro větší přehlednost nahrazují spojení „</w:t>
      </w:r>
      <w:r>
        <w:rPr>
          <w:i/>
        </w:rPr>
        <w:t>Vězeňská služba</w:t>
      </w:r>
      <w:r>
        <w:t>“ spojením „</w:t>
      </w:r>
      <w:r>
        <w:rPr>
          <w:i/>
        </w:rPr>
        <w:t>Zdravotnická zařízení Ministerstva spravedlnosti</w:t>
      </w:r>
      <w:r>
        <w:t>“, a to vyjma čl. III. odst. 1 a 2 Koncesní smlouvy ve znění Dohody, kde je spojením „</w:t>
      </w:r>
      <w:r>
        <w:rPr>
          <w:i/>
        </w:rPr>
        <w:t>Vězeňská služba</w:t>
      </w:r>
      <w:r>
        <w:t>“ míněna Vězeňská služba České republiky.</w:t>
      </w:r>
    </w:p>
    <w:p w14:paraId="4DFCE08E" w14:textId="77777777" w:rsidR="006E5653" w:rsidRDefault="00000000">
      <w:pPr>
        <w:pStyle w:val="Odstavecseseznamem"/>
        <w:numPr>
          <w:ilvl w:val="1"/>
          <w:numId w:val="1"/>
        </w:numPr>
        <w:tabs>
          <w:tab w:val="left" w:pos="858"/>
        </w:tabs>
        <w:spacing w:before="238"/>
      </w:pPr>
      <w:r>
        <w:t>Strany</w:t>
      </w:r>
      <w:r>
        <w:rPr>
          <w:spacing w:val="-5"/>
        </w:rPr>
        <w:t xml:space="preserve"> </w:t>
      </w:r>
      <w:r>
        <w:t>mění</w:t>
      </w:r>
      <w:r>
        <w:rPr>
          <w:spacing w:val="-1"/>
        </w:rPr>
        <w:t xml:space="preserve"> </w:t>
      </w:r>
      <w:r>
        <w:t>čl.</w:t>
      </w:r>
      <w:r>
        <w:rPr>
          <w:spacing w:val="-3"/>
        </w:rPr>
        <w:t xml:space="preserve"> </w:t>
      </w:r>
      <w:r>
        <w:t>IV</w:t>
      </w:r>
      <w:r>
        <w:rPr>
          <w:spacing w:val="-3"/>
        </w:rPr>
        <w:t xml:space="preserve"> </w:t>
      </w:r>
      <w:r>
        <w:t>odst.</w:t>
      </w:r>
      <w:r>
        <w:rPr>
          <w:spacing w:val="-7"/>
        </w:rPr>
        <w:t xml:space="preserve"> </w:t>
      </w:r>
      <w:r>
        <w:t>1</w:t>
      </w:r>
      <w:r>
        <w:rPr>
          <w:spacing w:val="-3"/>
        </w:rPr>
        <w:t xml:space="preserve"> </w:t>
      </w:r>
      <w:r>
        <w:t>Koncesní</w:t>
      </w:r>
      <w:r>
        <w:rPr>
          <w:spacing w:val="-4"/>
        </w:rPr>
        <w:t xml:space="preserve"> </w:t>
      </w:r>
      <w:r>
        <w:t>smlouvy</w:t>
      </w:r>
      <w:r>
        <w:rPr>
          <w:spacing w:val="-4"/>
        </w:rPr>
        <w:t xml:space="preserve"> </w:t>
      </w:r>
      <w:r>
        <w:t>tak,</w:t>
      </w:r>
      <w:r>
        <w:rPr>
          <w:spacing w:val="-6"/>
        </w:rPr>
        <w:t xml:space="preserve"> </w:t>
      </w:r>
      <w:r>
        <w:t>že</w:t>
      </w:r>
      <w:r>
        <w:rPr>
          <w:spacing w:val="-3"/>
        </w:rPr>
        <w:t xml:space="preserve"> </w:t>
      </w:r>
      <w:r>
        <w:t>nově</w:t>
      </w:r>
      <w:r>
        <w:rPr>
          <w:spacing w:val="-5"/>
        </w:rPr>
        <w:t xml:space="preserve"> </w:t>
      </w:r>
      <w:r>
        <w:rPr>
          <w:spacing w:val="-4"/>
        </w:rPr>
        <w:t>zní:</w:t>
      </w:r>
    </w:p>
    <w:p w14:paraId="793F8B3D" w14:textId="77777777" w:rsidR="006E5653" w:rsidRDefault="00000000">
      <w:pPr>
        <w:pStyle w:val="Zkladntext"/>
        <w:spacing w:before="242"/>
      </w:pPr>
      <w:r>
        <w:t>„Smlouva</w:t>
      </w:r>
      <w:r>
        <w:rPr>
          <w:spacing w:val="-3"/>
        </w:rPr>
        <w:t xml:space="preserve"> </w:t>
      </w:r>
      <w:r>
        <w:t>se</w:t>
      </w:r>
      <w:r>
        <w:rPr>
          <w:spacing w:val="-3"/>
        </w:rPr>
        <w:t xml:space="preserve"> </w:t>
      </w:r>
      <w:r>
        <w:t>uzavírá</w:t>
      </w:r>
      <w:r>
        <w:rPr>
          <w:spacing w:val="-5"/>
        </w:rPr>
        <w:t xml:space="preserve"> </w:t>
      </w:r>
      <w:r>
        <w:t>na</w:t>
      </w:r>
      <w:r>
        <w:rPr>
          <w:spacing w:val="-7"/>
        </w:rPr>
        <w:t xml:space="preserve"> </w:t>
      </w:r>
      <w:r>
        <w:t>dobu</w:t>
      </w:r>
      <w:r>
        <w:rPr>
          <w:spacing w:val="-2"/>
        </w:rPr>
        <w:t xml:space="preserve"> </w:t>
      </w:r>
      <w:r>
        <w:t>určitou</w:t>
      </w:r>
      <w:r>
        <w:rPr>
          <w:spacing w:val="-4"/>
        </w:rPr>
        <w:t xml:space="preserve"> </w:t>
      </w:r>
      <w:r>
        <w:t>do</w:t>
      </w:r>
      <w:r>
        <w:rPr>
          <w:spacing w:val="-5"/>
        </w:rPr>
        <w:t xml:space="preserve"> </w:t>
      </w:r>
      <w:r>
        <w:t>26.</w:t>
      </w:r>
      <w:r>
        <w:rPr>
          <w:spacing w:val="-4"/>
        </w:rPr>
        <w:t xml:space="preserve"> </w:t>
      </w:r>
      <w:r>
        <w:t>10.</w:t>
      </w:r>
      <w:r>
        <w:rPr>
          <w:spacing w:val="-3"/>
        </w:rPr>
        <w:t xml:space="preserve"> </w:t>
      </w:r>
      <w:r>
        <w:rPr>
          <w:spacing w:val="-2"/>
        </w:rPr>
        <w:t>2025.“</w:t>
      </w:r>
    </w:p>
    <w:p w14:paraId="15CD9355" w14:textId="77777777" w:rsidR="006E5653" w:rsidRDefault="00000000">
      <w:pPr>
        <w:pStyle w:val="Odstavecseseznamem"/>
        <w:numPr>
          <w:ilvl w:val="1"/>
          <w:numId w:val="1"/>
        </w:numPr>
        <w:tabs>
          <w:tab w:val="left" w:pos="858"/>
        </w:tabs>
      </w:pPr>
      <w:r>
        <w:t>Strany</w:t>
      </w:r>
      <w:r>
        <w:rPr>
          <w:spacing w:val="72"/>
          <w:w w:val="150"/>
        </w:rPr>
        <w:t xml:space="preserve"> </w:t>
      </w:r>
      <w:r>
        <w:t>v</w:t>
      </w:r>
      <w:r>
        <w:rPr>
          <w:spacing w:val="-3"/>
        </w:rPr>
        <w:t xml:space="preserve"> </w:t>
      </w:r>
      <w:r>
        <w:t>čl.</w:t>
      </w:r>
      <w:r>
        <w:rPr>
          <w:spacing w:val="75"/>
          <w:w w:val="150"/>
        </w:rPr>
        <w:t xml:space="preserve"> </w:t>
      </w:r>
      <w:r>
        <w:t>IV</w:t>
      </w:r>
      <w:r>
        <w:rPr>
          <w:spacing w:val="72"/>
          <w:w w:val="150"/>
        </w:rPr>
        <w:t xml:space="preserve"> </w:t>
      </w:r>
      <w:r>
        <w:t>odst.</w:t>
      </w:r>
      <w:r>
        <w:rPr>
          <w:spacing w:val="71"/>
          <w:w w:val="150"/>
        </w:rPr>
        <w:t xml:space="preserve"> </w:t>
      </w:r>
      <w:r>
        <w:t>3</w:t>
      </w:r>
      <w:r>
        <w:rPr>
          <w:spacing w:val="75"/>
          <w:w w:val="150"/>
        </w:rPr>
        <w:t xml:space="preserve"> </w:t>
      </w:r>
      <w:r>
        <w:t>Koncesní</w:t>
      </w:r>
      <w:r>
        <w:rPr>
          <w:spacing w:val="76"/>
          <w:w w:val="150"/>
        </w:rPr>
        <w:t xml:space="preserve"> </w:t>
      </w:r>
      <w:r>
        <w:t>smlouvy</w:t>
      </w:r>
      <w:r>
        <w:rPr>
          <w:spacing w:val="73"/>
          <w:w w:val="150"/>
        </w:rPr>
        <w:t xml:space="preserve"> </w:t>
      </w:r>
      <w:r>
        <w:t>nahrazují</w:t>
      </w:r>
      <w:r>
        <w:rPr>
          <w:spacing w:val="75"/>
          <w:w w:val="150"/>
        </w:rPr>
        <w:t xml:space="preserve"> </w:t>
      </w:r>
      <w:r>
        <w:t>slovo</w:t>
      </w:r>
      <w:r>
        <w:rPr>
          <w:spacing w:val="72"/>
          <w:w w:val="150"/>
        </w:rPr>
        <w:t xml:space="preserve"> </w:t>
      </w:r>
      <w:r>
        <w:t>„</w:t>
      </w:r>
      <w:r>
        <w:rPr>
          <w:i/>
        </w:rPr>
        <w:t>platnosti</w:t>
      </w:r>
      <w:r>
        <w:t>“</w:t>
      </w:r>
      <w:r>
        <w:rPr>
          <w:spacing w:val="74"/>
          <w:w w:val="150"/>
        </w:rPr>
        <w:t xml:space="preserve"> </w:t>
      </w:r>
      <w:r>
        <w:rPr>
          <w:spacing w:val="-2"/>
        </w:rPr>
        <w:t>slovem</w:t>
      </w:r>
    </w:p>
    <w:p w14:paraId="0A99D436" w14:textId="77777777" w:rsidR="006E5653" w:rsidRDefault="00000000">
      <w:pPr>
        <w:spacing w:before="1"/>
        <w:ind w:left="858"/>
      </w:pPr>
      <w:r>
        <w:rPr>
          <w:spacing w:val="-2"/>
        </w:rPr>
        <w:t>„</w:t>
      </w:r>
      <w:r>
        <w:rPr>
          <w:i/>
          <w:spacing w:val="-2"/>
        </w:rPr>
        <w:t>účinnosti</w:t>
      </w:r>
      <w:r>
        <w:rPr>
          <w:spacing w:val="-2"/>
        </w:rPr>
        <w:t>“.</w:t>
      </w:r>
    </w:p>
    <w:p w14:paraId="4A6ED529" w14:textId="77777777" w:rsidR="006E5653" w:rsidRDefault="00000000">
      <w:pPr>
        <w:pStyle w:val="Odstavecseseznamem"/>
        <w:numPr>
          <w:ilvl w:val="1"/>
          <w:numId w:val="1"/>
        </w:numPr>
        <w:tabs>
          <w:tab w:val="left" w:pos="858"/>
        </w:tabs>
        <w:spacing w:before="240"/>
        <w:ind w:right="113"/>
        <w:jc w:val="both"/>
      </w:pPr>
      <w:r>
        <w:t>Strany nahrazují čl. IV odst. 6 Koncesní smlouvy novým čl. IV odst. 6 Koncesní smlouvy v tomto znění:</w:t>
      </w:r>
    </w:p>
    <w:p w14:paraId="18F472EB" w14:textId="77777777" w:rsidR="006E5653" w:rsidRDefault="00000000">
      <w:pPr>
        <w:pStyle w:val="Zkladntext"/>
        <w:spacing w:before="240"/>
        <w:ind w:right="114"/>
        <w:jc w:val="both"/>
      </w:pPr>
      <w:r>
        <w:t>„Zdravotnická zařízení Ministerstva</w:t>
      </w:r>
      <w:r>
        <w:rPr>
          <w:spacing w:val="-2"/>
        </w:rPr>
        <w:t xml:space="preserve"> </w:t>
      </w:r>
      <w:r>
        <w:t>spravedlnosti</w:t>
      </w:r>
      <w:r>
        <w:rPr>
          <w:spacing w:val="-2"/>
        </w:rPr>
        <w:t xml:space="preserve"> </w:t>
      </w:r>
      <w:r>
        <w:t>jsou oprávněna</w:t>
      </w:r>
      <w:r>
        <w:rPr>
          <w:spacing w:val="-1"/>
        </w:rPr>
        <w:t xml:space="preserve"> </w:t>
      </w:r>
      <w:r>
        <w:t>vypovědět Smlouvu s</w:t>
      </w:r>
      <w:r>
        <w:rPr>
          <w:spacing w:val="-1"/>
        </w:rPr>
        <w:t xml:space="preserve"> </w:t>
      </w:r>
      <w:r>
        <w:t>výpovědní dobou 15 dnů v případě výběru poskytovatele zdravotní péče, která je předmětem Smlouvy, v zadávacím nebo koncesním řízení.“</w:t>
      </w:r>
    </w:p>
    <w:p w14:paraId="74E95FDC" w14:textId="77777777" w:rsidR="006E5653" w:rsidRDefault="006E5653">
      <w:pPr>
        <w:pStyle w:val="Zkladntext"/>
        <w:spacing w:before="106"/>
        <w:ind w:left="0"/>
      </w:pPr>
    </w:p>
    <w:p w14:paraId="380F677E" w14:textId="77777777" w:rsidR="006E5653" w:rsidRDefault="00000000">
      <w:pPr>
        <w:pStyle w:val="Nadpis1"/>
        <w:numPr>
          <w:ilvl w:val="0"/>
          <w:numId w:val="1"/>
        </w:numPr>
        <w:tabs>
          <w:tab w:val="left" w:pos="846"/>
        </w:tabs>
        <w:spacing w:before="1"/>
      </w:pPr>
      <w:r>
        <w:t>ZÁVĚREČNÁ</w:t>
      </w:r>
      <w:r>
        <w:rPr>
          <w:spacing w:val="-8"/>
        </w:rPr>
        <w:t xml:space="preserve"> </w:t>
      </w:r>
      <w:r>
        <w:rPr>
          <w:spacing w:val="-2"/>
        </w:rPr>
        <w:t>USTANOVENÍ</w:t>
      </w:r>
    </w:p>
    <w:p w14:paraId="42022E41" w14:textId="77777777" w:rsidR="006E5653" w:rsidRDefault="00000000">
      <w:pPr>
        <w:pStyle w:val="Odstavecseseznamem"/>
        <w:numPr>
          <w:ilvl w:val="1"/>
          <w:numId w:val="1"/>
        </w:numPr>
        <w:tabs>
          <w:tab w:val="left" w:pos="858"/>
        </w:tabs>
        <w:spacing w:before="241"/>
        <w:ind w:right="110"/>
        <w:jc w:val="both"/>
      </w:pPr>
      <w:r>
        <w:t>Tento Dodatek nabývá platnosti dnem podpisu oběma Stranami a účinnosti dnem uveřejnění v</w:t>
      </w:r>
      <w:r>
        <w:rPr>
          <w:spacing w:val="-3"/>
        </w:rPr>
        <w:t xml:space="preserve"> </w:t>
      </w:r>
      <w:r>
        <w:t>registru smluv. Dle dohody Stran zajistí uveřejnění tohoto Dodatku prostřednictvím registru smluv Zdravotnická zařízení Ministerstva spravedlnosti.</w:t>
      </w:r>
    </w:p>
    <w:p w14:paraId="68B55983" w14:textId="77777777" w:rsidR="006E5653" w:rsidRDefault="00000000">
      <w:pPr>
        <w:pStyle w:val="Odstavecseseznamem"/>
        <w:numPr>
          <w:ilvl w:val="1"/>
          <w:numId w:val="1"/>
        </w:numPr>
        <w:tabs>
          <w:tab w:val="left" w:pos="858"/>
        </w:tabs>
        <w:spacing w:before="240"/>
      </w:pPr>
      <w:r>
        <w:t>Tento</w:t>
      </w:r>
      <w:r>
        <w:rPr>
          <w:spacing w:val="-5"/>
        </w:rPr>
        <w:t xml:space="preserve"> </w:t>
      </w:r>
      <w:r>
        <w:t>Dodatek</w:t>
      </w:r>
      <w:r>
        <w:rPr>
          <w:spacing w:val="-8"/>
        </w:rPr>
        <w:t xml:space="preserve"> </w:t>
      </w:r>
      <w:r>
        <w:t>je</w:t>
      </w:r>
      <w:r>
        <w:rPr>
          <w:spacing w:val="-4"/>
        </w:rPr>
        <w:t xml:space="preserve"> </w:t>
      </w:r>
      <w:r>
        <w:t>uzavřen</w:t>
      </w:r>
      <w:r>
        <w:rPr>
          <w:spacing w:val="-5"/>
        </w:rPr>
        <w:t xml:space="preserve"> </w:t>
      </w:r>
      <w:r>
        <w:t>v</w:t>
      </w:r>
      <w:r>
        <w:rPr>
          <w:spacing w:val="-4"/>
        </w:rPr>
        <w:t xml:space="preserve"> </w:t>
      </w:r>
      <w:r>
        <w:t>elektronické</w:t>
      </w:r>
      <w:r>
        <w:rPr>
          <w:spacing w:val="-7"/>
        </w:rPr>
        <w:t xml:space="preserve"> </w:t>
      </w:r>
      <w:r>
        <w:rPr>
          <w:spacing w:val="-2"/>
        </w:rPr>
        <w:t>podobě.</w:t>
      </w:r>
    </w:p>
    <w:p w14:paraId="1037F7FF" w14:textId="0F94B0A8" w:rsidR="006E5653" w:rsidRDefault="00000000">
      <w:pPr>
        <w:pStyle w:val="Zkladntext"/>
        <w:spacing w:before="239"/>
        <w:ind w:left="138"/>
      </w:pPr>
      <w:r>
        <w:t>V</w:t>
      </w:r>
      <w:r>
        <w:rPr>
          <w:spacing w:val="-6"/>
        </w:rPr>
        <w:t xml:space="preserve"> </w:t>
      </w:r>
      <w:r>
        <w:t>Praze</w:t>
      </w:r>
      <w:r>
        <w:rPr>
          <w:spacing w:val="-5"/>
        </w:rPr>
        <w:t xml:space="preserve"> </w:t>
      </w:r>
      <w:r>
        <w:t>dne</w:t>
      </w:r>
      <w:r w:rsidR="00267B74">
        <w:t xml:space="preserve"> 26. 5. 2025</w:t>
      </w:r>
    </w:p>
    <w:p w14:paraId="4E319959" w14:textId="77777777" w:rsidR="006E5653" w:rsidRDefault="006E5653">
      <w:pPr>
        <w:pStyle w:val="Zkladntext"/>
        <w:spacing w:before="6"/>
        <w:ind w:left="0"/>
        <w:rPr>
          <w:sz w:val="20"/>
        </w:rPr>
      </w:pPr>
    </w:p>
    <w:p w14:paraId="5FD4CF82" w14:textId="77777777" w:rsidR="006E5653" w:rsidRDefault="006E5653">
      <w:pPr>
        <w:rPr>
          <w:sz w:val="20"/>
        </w:rPr>
        <w:sectPr w:rsidR="006E5653">
          <w:pgSz w:w="11910" w:h="16840"/>
          <w:pgMar w:top="1040" w:right="1300" w:bottom="280" w:left="1280" w:header="708" w:footer="708" w:gutter="0"/>
          <w:cols w:space="708"/>
        </w:sectPr>
      </w:pPr>
    </w:p>
    <w:p w14:paraId="2E7A0B8E" w14:textId="34A78F64" w:rsidR="006E5653" w:rsidRDefault="00000000" w:rsidP="00267B74">
      <w:pPr>
        <w:spacing w:before="107"/>
        <w:ind w:left="528"/>
        <w:rPr>
          <w:rFonts w:ascii="Myriad Pro"/>
          <w:sz w:val="13"/>
        </w:rPr>
      </w:pPr>
      <w:r>
        <w:br w:type="column"/>
      </w:r>
    </w:p>
    <w:p w14:paraId="1B1A10FE" w14:textId="77777777" w:rsidR="006E5653" w:rsidRDefault="006E5653">
      <w:pPr>
        <w:spacing w:line="153" w:lineRule="exact"/>
        <w:rPr>
          <w:rFonts w:ascii="Myriad Pro"/>
          <w:sz w:val="13"/>
        </w:rPr>
        <w:sectPr w:rsidR="006E5653">
          <w:type w:val="continuous"/>
          <w:pgSz w:w="11910" w:h="16840"/>
          <w:pgMar w:top="1040" w:right="1300" w:bottom="280" w:left="1280" w:header="708" w:footer="708" w:gutter="0"/>
          <w:cols w:num="3" w:space="708" w:equalWidth="0">
            <w:col w:w="3942" w:space="1250"/>
            <w:col w:w="1293" w:space="40"/>
            <w:col w:w="2805"/>
          </w:cols>
        </w:sectPr>
      </w:pPr>
    </w:p>
    <w:p w14:paraId="520AA1E9" w14:textId="77777777" w:rsidR="006E5653" w:rsidRDefault="006E5653">
      <w:pPr>
        <w:pStyle w:val="Zkladntext"/>
        <w:spacing w:before="42"/>
        <w:ind w:left="0"/>
        <w:rPr>
          <w:rFonts w:ascii="Myriad Pro"/>
          <w:sz w:val="20"/>
        </w:rPr>
      </w:pPr>
    </w:p>
    <w:tbl>
      <w:tblPr>
        <w:tblStyle w:val="TableNormal"/>
        <w:tblW w:w="0" w:type="auto"/>
        <w:tblInd w:w="122" w:type="dxa"/>
        <w:tblLayout w:type="fixed"/>
        <w:tblLook w:val="01E0" w:firstRow="1" w:lastRow="1" w:firstColumn="1" w:lastColumn="1" w:noHBand="0" w:noVBand="0"/>
      </w:tblPr>
      <w:tblGrid>
        <w:gridCol w:w="5076"/>
        <w:gridCol w:w="3511"/>
      </w:tblGrid>
      <w:tr w:rsidR="006E5653" w14:paraId="1236D6BA" w14:textId="77777777">
        <w:trPr>
          <w:trHeight w:val="498"/>
        </w:trPr>
        <w:tc>
          <w:tcPr>
            <w:tcW w:w="5076" w:type="dxa"/>
          </w:tcPr>
          <w:p w14:paraId="7CF245FA" w14:textId="77777777" w:rsidR="006E5653" w:rsidRDefault="00000000">
            <w:pPr>
              <w:pStyle w:val="TableParagraph"/>
              <w:spacing w:line="246" w:lineRule="exact"/>
              <w:ind w:left="0"/>
            </w:pPr>
            <w:r>
              <w:t>Zdravotnická</w:t>
            </w:r>
            <w:r>
              <w:rPr>
                <w:spacing w:val="-11"/>
              </w:rPr>
              <w:t xml:space="preserve"> </w:t>
            </w:r>
            <w:r>
              <w:t>zařízení</w:t>
            </w:r>
            <w:r>
              <w:rPr>
                <w:spacing w:val="-10"/>
              </w:rPr>
              <w:t xml:space="preserve"> </w:t>
            </w:r>
            <w:r>
              <w:t>Ministerstva</w:t>
            </w:r>
            <w:r>
              <w:rPr>
                <w:spacing w:val="-8"/>
              </w:rPr>
              <w:t xml:space="preserve"> </w:t>
            </w:r>
            <w:r>
              <w:rPr>
                <w:spacing w:val="-2"/>
              </w:rPr>
              <w:t>spravedlnosti</w:t>
            </w:r>
          </w:p>
          <w:p w14:paraId="75737BF5" w14:textId="77777777" w:rsidR="006E5653" w:rsidRDefault="00000000">
            <w:pPr>
              <w:pStyle w:val="TableParagraph"/>
              <w:ind w:left="2"/>
            </w:pPr>
            <w:r>
              <w:t>MUDr.</w:t>
            </w:r>
            <w:r>
              <w:rPr>
                <w:spacing w:val="-7"/>
              </w:rPr>
              <w:t xml:space="preserve"> </w:t>
            </w:r>
            <w:r>
              <w:t>Ondřej</w:t>
            </w:r>
            <w:r>
              <w:rPr>
                <w:spacing w:val="-3"/>
              </w:rPr>
              <w:t xml:space="preserve"> </w:t>
            </w:r>
            <w:r>
              <w:t>Felix,</w:t>
            </w:r>
            <w:r>
              <w:rPr>
                <w:spacing w:val="-6"/>
              </w:rPr>
              <w:t xml:space="preserve"> </w:t>
            </w:r>
            <w:r>
              <w:t>MBA,</w:t>
            </w:r>
            <w:r>
              <w:rPr>
                <w:spacing w:val="-3"/>
              </w:rPr>
              <w:t xml:space="preserve"> </w:t>
            </w:r>
            <w:r>
              <w:t>LL.M.,</w:t>
            </w:r>
            <w:r>
              <w:rPr>
                <w:spacing w:val="-6"/>
              </w:rPr>
              <w:t xml:space="preserve"> </w:t>
            </w:r>
            <w:r>
              <w:rPr>
                <w:spacing w:val="-2"/>
              </w:rPr>
              <w:t>ředitel</w:t>
            </w:r>
          </w:p>
        </w:tc>
        <w:tc>
          <w:tcPr>
            <w:tcW w:w="3511" w:type="dxa"/>
          </w:tcPr>
          <w:p w14:paraId="6A6754D2" w14:textId="77777777" w:rsidR="006E5653" w:rsidRDefault="00000000">
            <w:pPr>
              <w:pStyle w:val="TableParagraph"/>
              <w:spacing w:line="246" w:lineRule="exact"/>
              <w:ind w:right="4"/>
            </w:pPr>
            <w:r>
              <w:t>Remedis,</w:t>
            </w:r>
            <w:r>
              <w:rPr>
                <w:spacing w:val="-6"/>
              </w:rPr>
              <w:t xml:space="preserve"> </w:t>
            </w:r>
            <w:r>
              <w:rPr>
                <w:spacing w:val="-2"/>
              </w:rPr>
              <w:t>s.r.o.</w:t>
            </w:r>
          </w:p>
          <w:p w14:paraId="192DEF02" w14:textId="77777777" w:rsidR="006E5653" w:rsidRDefault="00000000">
            <w:pPr>
              <w:pStyle w:val="TableParagraph"/>
              <w:ind w:right="0"/>
            </w:pPr>
            <w:r>
              <w:t>MUDr.</w:t>
            </w:r>
            <w:r>
              <w:rPr>
                <w:spacing w:val="-7"/>
              </w:rPr>
              <w:t xml:space="preserve"> </w:t>
            </w:r>
            <w:r>
              <w:t>Vratislav</w:t>
            </w:r>
            <w:r>
              <w:rPr>
                <w:spacing w:val="-5"/>
              </w:rPr>
              <w:t xml:space="preserve"> </w:t>
            </w:r>
            <w:r>
              <w:t>Řehák,</w:t>
            </w:r>
            <w:r>
              <w:rPr>
                <w:spacing w:val="-6"/>
              </w:rPr>
              <w:t xml:space="preserve"> </w:t>
            </w:r>
            <w:r>
              <w:rPr>
                <w:spacing w:val="-2"/>
              </w:rPr>
              <w:t>jednatel</w:t>
            </w:r>
          </w:p>
        </w:tc>
      </w:tr>
    </w:tbl>
    <w:p w14:paraId="5CD85D7C" w14:textId="77777777" w:rsidR="00C121B4" w:rsidRDefault="00C121B4"/>
    <w:sectPr w:rsidR="00C121B4">
      <w:type w:val="continuous"/>
      <w:pgSz w:w="11910" w:h="16840"/>
      <w:pgMar w:top="1040" w:right="130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yriad Pro">
    <w:altName w:val="Segoe U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C4BA1"/>
    <w:multiLevelType w:val="multilevel"/>
    <w:tmpl w:val="ED6E526E"/>
    <w:lvl w:ilvl="0">
      <w:start w:val="1"/>
      <w:numFmt w:val="decimal"/>
      <w:lvlText w:val="%1."/>
      <w:lvlJc w:val="left"/>
      <w:pPr>
        <w:ind w:left="846" w:hanging="708"/>
        <w:jc w:val="left"/>
      </w:pPr>
      <w:rPr>
        <w:rFonts w:ascii="Arial" w:eastAsia="Arial" w:hAnsi="Arial" w:cs="Arial" w:hint="default"/>
        <w:b/>
        <w:bCs/>
        <w:i w:val="0"/>
        <w:iCs w:val="0"/>
        <w:spacing w:val="-1"/>
        <w:w w:val="100"/>
        <w:sz w:val="22"/>
        <w:szCs w:val="22"/>
        <w:lang w:val="cs-CZ" w:eastAsia="en-US" w:bidi="ar-SA"/>
      </w:rPr>
    </w:lvl>
    <w:lvl w:ilvl="1">
      <w:start w:val="1"/>
      <w:numFmt w:val="decimal"/>
      <w:lvlText w:val="%1.%2."/>
      <w:lvlJc w:val="left"/>
      <w:pPr>
        <w:ind w:left="858" w:hanging="720"/>
        <w:jc w:val="left"/>
      </w:pPr>
      <w:rPr>
        <w:rFonts w:ascii="Arial" w:eastAsia="Arial" w:hAnsi="Arial" w:cs="Arial" w:hint="default"/>
        <w:b w:val="0"/>
        <w:bCs w:val="0"/>
        <w:i w:val="0"/>
        <w:iCs w:val="0"/>
        <w:spacing w:val="0"/>
        <w:w w:val="100"/>
        <w:sz w:val="22"/>
        <w:szCs w:val="22"/>
        <w:lang w:val="cs-CZ" w:eastAsia="en-US" w:bidi="ar-SA"/>
      </w:rPr>
    </w:lvl>
    <w:lvl w:ilvl="2">
      <w:start w:val="1"/>
      <w:numFmt w:val="decimal"/>
      <w:lvlText w:val="%1.%2.%3."/>
      <w:lvlJc w:val="left"/>
      <w:pPr>
        <w:ind w:left="1569" w:hanging="720"/>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2530" w:hanging="720"/>
      </w:pPr>
      <w:rPr>
        <w:rFonts w:hint="default"/>
        <w:lang w:val="cs-CZ" w:eastAsia="en-US" w:bidi="ar-SA"/>
      </w:rPr>
    </w:lvl>
    <w:lvl w:ilvl="4">
      <w:numFmt w:val="bullet"/>
      <w:lvlText w:val="•"/>
      <w:lvlJc w:val="left"/>
      <w:pPr>
        <w:ind w:left="3501" w:hanging="720"/>
      </w:pPr>
      <w:rPr>
        <w:rFonts w:hint="default"/>
        <w:lang w:val="cs-CZ" w:eastAsia="en-US" w:bidi="ar-SA"/>
      </w:rPr>
    </w:lvl>
    <w:lvl w:ilvl="5">
      <w:numFmt w:val="bullet"/>
      <w:lvlText w:val="•"/>
      <w:lvlJc w:val="left"/>
      <w:pPr>
        <w:ind w:left="4472" w:hanging="720"/>
      </w:pPr>
      <w:rPr>
        <w:rFonts w:hint="default"/>
        <w:lang w:val="cs-CZ" w:eastAsia="en-US" w:bidi="ar-SA"/>
      </w:rPr>
    </w:lvl>
    <w:lvl w:ilvl="6">
      <w:numFmt w:val="bullet"/>
      <w:lvlText w:val="•"/>
      <w:lvlJc w:val="left"/>
      <w:pPr>
        <w:ind w:left="5443" w:hanging="720"/>
      </w:pPr>
      <w:rPr>
        <w:rFonts w:hint="default"/>
        <w:lang w:val="cs-CZ" w:eastAsia="en-US" w:bidi="ar-SA"/>
      </w:rPr>
    </w:lvl>
    <w:lvl w:ilvl="7">
      <w:numFmt w:val="bullet"/>
      <w:lvlText w:val="•"/>
      <w:lvlJc w:val="left"/>
      <w:pPr>
        <w:ind w:left="6414" w:hanging="720"/>
      </w:pPr>
      <w:rPr>
        <w:rFonts w:hint="default"/>
        <w:lang w:val="cs-CZ" w:eastAsia="en-US" w:bidi="ar-SA"/>
      </w:rPr>
    </w:lvl>
    <w:lvl w:ilvl="8">
      <w:numFmt w:val="bullet"/>
      <w:lvlText w:val="•"/>
      <w:lvlJc w:val="left"/>
      <w:pPr>
        <w:ind w:left="7384" w:hanging="720"/>
      </w:pPr>
      <w:rPr>
        <w:rFonts w:hint="default"/>
        <w:lang w:val="cs-CZ" w:eastAsia="en-US" w:bidi="ar-SA"/>
      </w:rPr>
    </w:lvl>
  </w:abstractNum>
  <w:num w:numId="1" w16cid:durableId="97780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E5653"/>
    <w:rsid w:val="00267B74"/>
    <w:rsid w:val="00296973"/>
    <w:rsid w:val="006E5653"/>
    <w:rsid w:val="00C121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7FFE"/>
  <w15:docId w15:val="{12FFB01C-FEDE-4683-8A92-80AE8C14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846" w:hanging="708"/>
      <w:outlineLvl w:val="0"/>
    </w:pPr>
    <w:rPr>
      <w:b/>
      <w:bCs/>
    </w:rPr>
  </w:style>
  <w:style w:type="paragraph" w:styleId="Nadpis2">
    <w:name w:val="heading 2"/>
    <w:basedOn w:val="Normln"/>
    <w:uiPriority w:val="9"/>
    <w:unhideWhenUsed/>
    <w:qFormat/>
    <w:pPr>
      <w:spacing w:line="252" w:lineRule="exact"/>
      <w:ind w:left="138"/>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58"/>
    </w:pPr>
  </w:style>
  <w:style w:type="paragraph" w:styleId="Nzev">
    <w:name w:val="Title"/>
    <w:basedOn w:val="Normln"/>
    <w:uiPriority w:val="10"/>
    <w:qFormat/>
    <w:pPr>
      <w:spacing w:before="73"/>
      <w:ind w:left="20"/>
      <w:jc w:val="center"/>
    </w:pPr>
    <w:rPr>
      <w:b/>
      <w:bCs/>
      <w:sz w:val="28"/>
      <w:szCs w:val="28"/>
    </w:rPr>
  </w:style>
  <w:style w:type="paragraph" w:styleId="Odstavecseseznamem">
    <w:name w:val="List Paragraph"/>
    <w:basedOn w:val="Normln"/>
    <w:uiPriority w:val="1"/>
    <w:qFormat/>
    <w:pPr>
      <w:spacing w:before="239"/>
      <w:ind w:left="858" w:hanging="720"/>
      <w:jc w:val="both"/>
    </w:pPr>
  </w:style>
  <w:style w:type="paragraph" w:customStyle="1" w:styleId="TableParagraph">
    <w:name w:val="Table Paragraph"/>
    <w:basedOn w:val="Normln"/>
    <w:uiPriority w:val="1"/>
    <w:qFormat/>
    <w:pPr>
      <w:spacing w:line="233" w:lineRule="exact"/>
      <w:ind w:left="276" w:right="27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3906</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Koupě letounu</dc:title>
  <dc:creator>DSAK</dc:creator>
  <cp:lastModifiedBy>Libina</cp:lastModifiedBy>
  <cp:revision>2</cp:revision>
  <dcterms:created xsi:type="dcterms:W3CDTF">2025-05-26T19:24:00Z</dcterms:created>
  <dcterms:modified xsi:type="dcterms:W3CDTF">2025-05-26T19:26:00Z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Creator">
    <vt:lpwstr>Microsoft® Word pro Microsoft 365</vt:lpwstr>
  </property>
  <property fmtid="{D5CDD505-2E9C-101B-9397-08002B2CF9AE}" pid="4" name="LastSaved">
    <vt:filetime>2025-05-26T00:00:00Z</vt:filetime>
  </property>
  <property fmtid="{D5CDD505-2E9C-101B-9397-08002B2CF9AE}" pid="5" name="Producer">
    <vt:lpwstr>Microsoft® Word pro Microsoft 365</vt:lpwstr>
  </property>
</Properties>
</file>