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1C78" w14:textId="77777777" w:rsidR="00845345" w:rsidRDefault="00B149A8">
      <w:pPr>
        <w:spacing w:after="0" w:line="238" w:lineRule="auto"/>
        <w:ind w:left="2669" w:hanging="2443"/>
        <w:jc w:val="left"/>
      </w:pPr>
      <w:r>
        <w:rPr>
          <w:rFonts w:ascii="Calibri" w:eastAsia="Calibri" w:hAnsi="Calibri" w:cs="Calibri"/>
          <w:sz w:val="50"/>
        </w:rPr>
        <w:t>DODATEK Č. 1 K NÁJEMNÍ SMLOUVĚ ze dne 23.4.2025</w:t>
      </w:r>
    </w:p>
    <w:p w14:paraId="225513B8" w14:textId="77777777" w:rsidR="00845345" w:rsidRDefault="00B149A8">
      <w:pPr>
        <w:spacing w:after="302" w:line="259" w:lineRule="auto"/>
        <w:ind w:left="-1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341461" wp14:editId="44FE9312">
                <wp:extent cx="5194142" cy="9145"/>
                <wp:effectExtent l="0" t="0" r="0" b="0"/>
                <wp:docPr id="4411" name="Group 4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142" cy="9145"/>
                          <a:chOff x="0" y="0"/>
                          <a:chExt cx="5194142" cy="9145"/>
                        </a:xfrm>
                      </wpg:grpSpPr>
                      <wps:wsp>
                        <wps:cNvPr id="4410" name="Shape 4410"/>
                        <wps:cNvSpPr/>
                        <wps:spPr>
                          <a:xfrm>
                            <a:off x="0" y="0"/>
                            <a:ext cx="5194142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4142" h="9145">
                                <a:moveTo>
                                  <a:pt x="0" y="4572"/>
                                </a:moveTo>
                                <a:lnTo>
                                  <a:pt x="5194142" y="4572"/>
                                </a:lnTo>
                              </a:path>
                            </a:pathLst>
                          </a:custGeom>
                          <a:ln w="91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11" style="width:408.988pt;height:0.720078pt;mso-position-horizontal-relative:char;mso-position-vertical-relative:line" coordsize="51941,91">
                <v:shape id="Shape 4410" style="position:absolute;width:51941;height:91;left:0;top:0;" coordsize="5194142,9145" path="m0,4572l5194142,4572">
                  <v:stroke weight="0.72007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E23171" w14:textId="77777777" w:rsidR="00845345" w:rsidRDefault="00B149A8">
      <w:pPr>
        <w:spacing w:after="235"/>
      </w:pPr>
      <w:r>
        <w:t>uzavřený podle S 2221 a násl. zákona č. 89/2012 Sb., občanský zákoník, mezi:</w:t>
      </w:r>
    </w:p>
    <w:p w14:paraId="648F8D59" w14:textId="77777777" w:rsidR="00845345" w:rsidRDefault="00B149A8">
      <w:pPr>
        <w:spacing w:after="163" w:line="259" w:lineRule="auto"/>
        <w:ind w:left="19" w:hanging="10"/>
        <w:jc w:val="left"/>
      </w:pPr>
      <w:r>
        <w:rPr>
          <w:rFonts w:ascii="Calibri" w:eastAsia="Calibri" w:hAnsi="Calibri" w:cs="Calibri"/>
          <w:sz w:val="26"/>
        </w:rPr>
        <w:t>Pronajímatel:</w:t>
      </w:r>
    </w:p>
    <w:p w14:paraId="722E6C3E" w14:textId="77777777" w:rsidR="00845345" w:rsidRDefault="00B149A8">
      <w:pPr>
        <w:ind w:left="163"/>
      </w:pPr>
      <w:r>
        <w:t>Dům seniorů Františkov, Liberec, příspěvková organizace</w:t>
      </w:r>
    </w:p>
    <w:p w14:paraId="79FB695A" w14:textId="77777777" w:rsidR="00845345" w:rsidRDefault="00B149A8">
      <w:pPr>
        <w:spacing w:after="27" w:line="443" w:lineRule="auto"/>
        <w:ind w:left="76" w:right="2847" w:firstLine="86"/>
      </w:pPr>
      <w:r>
        <w:t>IČO: 10808108, DIČ: CZ10808108 sídlem Domažlická 880/8, Liberec III-Jeřáb, 460 07 Liberec, zastoupený Bc. Janem Gabrielem, MBA, ředitelem</w:t>
      </w:r>
    </w:p>
    <w:p w14:paraId="3D059203" w14:textId="77777777" w:rsidR="00845345" w:rsidRDefault="00B149A8">
      <w:pPr>
        <w:ind w:left="76"/>
      </w:pPr>
      <w:r>
        <w:t>Bankovní spojení: Komerční banka, a.s.</w:t>
      </w:r>
    </w:p>
    <w:p w14:paraId="19BF61B9" w14:textId="77777777" w:rsidR="00845345" w:rsidRDefault="00B149A8">
      <w:pPr>
        <w:spacing w:after="704" w:line="259" w:lineRule="auto"/>
        <w:ind w:left="96" w:firstLine="0"/>
        <w:jc w:val="left"/>
      </w:pPr>
      <w:r>
        <w:rPr>
          <w:sz w:val="24"/>
        </w:rPr>
        <w:t>číslo účtu: 123-4495150227/0100</w:t>
      </w:r>
    </w:p>
    <w:p w14:paraId="5E14A782" w14:textId="77777777" w:rsidR="00845345" w:rsidRDefault="00B149A8">
      <w:pPr>
        <w:spacing w:after="0" w:line="259" w:lineRule="auto"/>
        <w:ind w:left="19" w:hanging="10"/>
        <w:jc w:val="left"/>
      </w:pPr>
      <w:r>
        <w:rPr>
          <w:rFonts w:ascii="Calibri" w:eastAsia="Calibri" w:hAnsi="Calibri" w:cs="Calibri"/>
          <w:sz w:val="26"/>
        </w:rPr>
        <w:t>Nájemce:</w:t>
      </w:r>
    </w:p>
    <w:p w14:paraId="596B13FF" w14:textId="77777777" w:rsidR="00845345" w:rsidRDefault="00B149A8">
      <w:pPr>
        <w:spacing w:after="225" w:line="259" w:lineRule="auto"/>
        <w:ind w:left="67" w:firstLine="0"/>
        <w:jc w:val="left"/>
      </w:pPr>
      <w:r>
        <w:rPr>
          <w:sz w:val="20"/>
        </w:rPr>
        <w:t>KMM net, s.r.o.</w:t>
      </w:r>
    </w:p>
    <w:p w14:paraId="7BEAFB72" w14:textId="77777777" w:rsidR="00845345" w:rsidRDefault="00B149A8">
      <w:pPr>
        <w:spacing w:after="162"/>
        <w:ind w:left="76"/>
      </w:pPr>
      <w:r>
        <w:t>se sídlem Truhlářská 547/1 la, Liberec II-Nové Město, 460 01 Liberec,</w:t>
      </w:r>
    </w:p>
    <w:p w14:paraId="00BD2E24" w14:textId="77777777" w:rsidR="00845345" w:rsidRDefault="00B149A8">
      <w:pPr>
        <w:spacing w:after="35"/>
        <w:ind w:left="76"/>
      </w:pPr>
      <w:r>
        <w:t>IC: 05634512, zapsaná v OR vedeném u Krajského soudu v Ústí nad Labem, oddíl C, vložka</w:t>
      </w:r>
    </w:p>
    <w:p w14:paraId="749FD9F1" w14:textId="77777777" w:rsidR="00845345" w:rsidRDefault="00B149A8">
      <w:pPr>
        <w:spacing w:after="24" w:line="439" w:lineRule="auto"/>
        <w:ind w:left="76" w:right="3490"/>
      </w:pPr>
      <w:r>
        <w:t xml:space="preserve">38673 zastoupená panem Milanem </w:t>
      </w:r>
      <w:proofErr w:type="spellStart"/>
      <w:r>
        <w:t>Krčmárikem</w:t>
      </w:r>
      <w:proofErr w:type="spellEnd"/>
      <w:r>
        <w:t>, jednatelem</w:t>
      </w:r>
    </w:p>
    <w:p w14:paraId="3378DB9A" w14:textId="77777777" w:rsidR="00845345" w:rsidRDefault="00B149A8">
      <w:pPr>
        <w:spacing w:after="521"/>
        <w:ind w:left="76"/>
      </w:pPr>
      <w:r>
        <w:t>(společně dále jen „Smluvní strany”)</w:t>
      </w:r>
    </w:p>
    <w:p w14:paraId="3E8D7B49" w14:textId="77777777" w:rsidR="00845345" w:rsidRDefault="00B149A8">
      <w:pPr>
        <w:pStyle w:val="Nadpis1"/>
        <w:ind w:left="72"/>
      </w:pPr>
      <w:r>
        <w:t>Článek l. — Úvodní ustanovení</w:t>
      </w:r>
    </w:p>
    <w:p w14:paraId="54BF7F47" w14:textId="77777777" w:rsidR="00845345" w:rsidRDefault="00B149A8">
      <w:pPr>
        <w:spacing w:after="502"/>
        <w:ind w:left="76"/>
      </w:pPr>
      <w:r>
        <w:t xml:space="preserve">1. Tento dodatek upravuje práva a povinnosti smluvních stran vyplývající z nájemní smlouvy uzavřené dne 23.4.2025, jejímž předmětem je nájem nebytových prostor nacházejících se na adrese Domažlická 880/8, 460 01 </w:t>
      </w:r>
      <w:proofErr w:type="gramStart"/>
      <w:r>
        <w:t>Liberec(</w:t>
      </w:r>
      <w:proofErr w:type="gramEnd"/>
      <w:r>
        <w:t>dále jen „Smlouva").</w:t>
      </w:r>
    </w:p>
    <w:p w14:paraId="5182A5E0" w14:textId="77777777" w:rsidR="00845345" w:rsidRDefault="00B149A8">
      <w:pPr>
        <w:pStyle w:val="Nadpis1"/>
        <w:ind w:left="72"/>
      </w:pPr>
      <w:r>
        <w:lastRenderedPageBreak/>
        <w:t xml:space="preserve">Článek I </w:t>
      </w:r>
      <w:proofErr w:type="gramStart"/>
      <w:r>
        <w:t>l .</w:t>
      </w:r>
      <w:proofErr w:type="gramEnd"/>
      <w:r>
        <w:t xml:space="preserve"> — Rekonstrukce nebytových prostor</w:t>
      </w:r>
    </w:p>
    <w:p w14:paraId="1C226F79" w14:textId="77777777" w:rsidR="00845345" w:rsidRDefault="00B149A8">
      <w:pPr>
        <w:numPr>
          <w:ilvl w:val="0"/>
          <w:numId w:val="1"/>
        </w:numPr>
        <w:ind w:right="41"/>
      </w:pPr>
      <w:r>
        <w:t>Nájemce se zavazuje na vlastní náklady provést rekonstrukci pronajatých nebytových prostor v rozsahu dle přiložené dokumentace (příloha č. 1 tohoto dodatku), a to nejpozději do 31.5.2025.</w:t>
      </w:r>
    </w:p>
    <w:p w14:paraId="701B3A6A" w14:textId="77777777" w:rsidR="00845345" w:rsidRDefault="00B149A8">
      <w:pPr>
        <w:numPr>
          <w:ilvl w:val="0"/>
          <w:numId w:val="1"/>
        </w:numPr>
        <w:spacing w:after="534"/>
        <w:ind w:right="41"/>
      </w:pPr>
      <w:r>
        <w:t>Rekonstrukce bude provedena na základě předchozího souhlasu pronajímatele s konkrétním plánem prací a předloženým rozpočtem, přičemž skutečná částka bude určena po provedení prací po jejich vyúčtování.</w:t>
      </w:r>
    </w:p>
    <w:p w14:paraId="5F9CDCF5" w14:textId="77777777" w:rsidR="00845345" w:rsidRDefault="00B149A8">
      <w:pPr>
        <w:pStyle w:val="Nadpis1"/>
        <w:ind w:left="72"/>
      </w:pPr>
      <w:r>
        <w:t xml:space="preserve">Článek I </w:t>
      </w:r>
      <w:proofErr w:type="spellStart"/>
      <w:r>
        <w:t>I</w:t>
      </w:r>
      <w:proofErr w:type="spellEnd"/>
      <w:r>
        <w:t xml:space="preserve"> I. — Úhrada nákladů na rekonstrukci zápočtem</w:t>
      </w:r>
    </w:p>
    <w:p w14:paraId="1FD584F0" w14:textId="77777777" w:rsidR="00845345" w:rsidRDefault="00B149A8">
      <w:pPr>
        <w:numPr>
          <w:ilvl w:val="0"/>
          <w:numId w:val="2"/>
        </w:numPr>
      </w:pPr>
      <w:r>
        <w:t>Pronajímatel se zavazuje, že náklady vynaložené nájemcem na rekonstrukci budou nájemci kompenzovány formou postupného zápočtu na běžné nájemné do jejich úplného zaplacení.</w:t>
      </w:r>
    </w:p>
    <w:p w14:paraId="5D59AE2C" w14:textId="77777777" w:rsidR="00845345" w:rsidRDefault="00B149A8">
      <w:pPr>
        <w:numPr>
          <w:ilvl w:val="0"/>
          <w:numId w:val="2"/>
        </w:numPr>
      </w:pPr>
      <w:r>
        <w:t xml:space="preserve">Zápočet bude prováděn měsíčně počínaje měsícem květnem roku 2025, vždy ve výši </w:t>
      </w:r>
      <w:proofErr w:type="gramStart"/>
      <w:r>
        <w:t>5.000,-</w:t>
      </w:r>
      <w:proofErr w:type="gramEnd"/>
      <w:r>
        <w:t xml:space="preserve"> Kč měsíčně, až do úplného vyrovnání.</w:t>
      </w:r>
    </w:p>
    <w:p w14:paraId="547BB6A9" w14:textId="77777777" w:rsidR="00845345" w:rsidRDefault="00B149A8">
      <w:pPr>
        <w:numPr>
          <w:ilvl w:val="0"/>
          <w:numId w:val="2"/>
        </w:numPr>
        <w:spacing w:after="515"/>
      </w:pPr>
      <w:r>
        <w:t>V případě ukončení nájemní smlouvy před plným zápočtem zůstává nájemci právo na peněžní vyrovnání zbývající části nákladů, které nebyly započteny.</w:t>
      </w:r>
    </w:p>
    <w:p w14:paraId="291B41B8" w14:textId="77777777" w:rsidR="00845345" w:rsidRDefault="00B149A8">
      <w:pPr>
        <w:pStyle w:val="Nadpis1"/>
        <w:ind w:left="72"/>
      </w:pPr>
      <w:r>
        <w:t>Článek IV. — Ostatní ujednání</w:t>
      </w:r>
    </w:p>
    <w:p w14:paraId="15B4FEE5" w14:textId="77777777" w:rsidR="00845345" w:rsidRDefault="00B149A8">
      <w:pPr>
        <w:numPr>
          <w:ilvl w:val="0"/>
          <w:numId w:val="3"/>
        </w:numPr>
        <w:ind w:hanging="202"/>
      </w:pPr>
      <w:r>
        <w:t>Ostatní ustanovení nájemní smlouvy zůstávají tímto dodatkem nedotčena.</w:t>
      </w:r>
    </w:p>
    <w:p w14:paraId="5BA362DE" w14:textId="77777777" w:rsidR="00845345" w:rsidRDefault="00B149A8">
      <w:pPr>
        <w:numPr>
          <w:ilvl w:val="0"/>
          <w:numId w:val="3"/>
        </w:numPr>
        <w:spacing w:after="462"/>
        <w:ind w:hanging="202"/>
      </w:pPr>
      <w:r>
        <w:t>Tento dodatek nabývá platnosti dnem podpisu oběma smluvními stranami.</w:t>
      </w:r>
    </w:p>
    <w:p w14:paraId="2614CA06" w14:textId="77777777" w:rsidR="00845345" w:rsidRDefault="00B149A8">
      <w:pPr>
        <w:spacing w:after="234"/>
        <w:ind w:left="76"/>
      </w:pPr>
      <w:r>
        <w:t>V Liberci dne 25.4.2025</w:t>
      </w:r>
    </w:p>
    <w:p w14:paraId="069706D3" w14:textId="4EEDFA02" w:rsidR="00845345" w:rsidRDefault="00845345">
      <w:pPr>
        <w:spacing w:after="922" w:line="259" w:lineRule="auto"/>
        <w:ind w:left="86" w:firstLine="0"/>
        <w:jc w:val="left"/>
      </w:pPr>
    </w:p>
    <w:sectPr w:rsidR="00845345">
      <w:pgSz w:w="11900" w:h="16840"/>
      <w:pgMar w:top="1573" w:right="1786" w:bottom="3255" w:left="18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70AFE"/>
    <w:multiLevelType w:val="hybridMultilevel"/>
    <w:tmpl w:val="D78CB34C"/>
    <w:lvl w:ilvl="0" w:tplc="02E2145E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25E94">
      <w:start w:val="1"/>
      <w:numFmt w:val="lowerLetter"/>
      <w:lvlText w:val="%2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C6ECE">
      <w:start w:val="1"/>
      <w:numFmt w:val="lowerRoman"/>
      <w:lvlText w:val="%3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C0A2A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2D0C6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5C4A56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1C49B2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2700A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A8FA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048F6"/>
    <w:multiLevelType w:val="hybridMultilevel"/>
    <w:tmpl w:val="A22CE362"/>
    <w:lvl w:ilvl="0" w:tplc="C484731C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EA70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E3E70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781E4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622C6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0711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023E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28570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9C1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30295F"/>
    <w:multiLevelType w:val="hybridMultilevel"/>
    <w:tmpl w:val="A5F4EA70"/>
    <w:lvl w:ilvl="0" w:tplc="5DB67826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D629BC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524E6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C9166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0FEE0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8B5F2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E946A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56B32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0B442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7824039">
    <w:abstractNumId w:val="0"/>
  </w:num>
  <w:num w:numId="2" w16cid:durableId="548346733">
    <w:abstractNumId w:val="1"/>
  </w:num>
  <w:num w:numId="3" w16cid:durableId="1286303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45"/>
    <w:rsid w:val="0058611F"/>
    <w:rsid w:val="00845345"/>
    <w:rsid w:val="008C601A"/>
    <w:rsid w:val="00B149A8"/>
    <w:rsid w:val="00D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F045"/>
  <w15:docId w15:val="{5E53B33F-6F7C-434B-B457-64667248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0" w:line="268" w:lineRule="auto"/>
      <w:ind w:firstLine="4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6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4</cp:revision>
  <dcterms:created xsi:type="dcterms:W3CDTF">2025-05-26T11:11:00Z</dcterms:created>
  <dcterms:modified xsi:type="dcterms:W3CDTF">2025-05-26T11:16:00Z</dcterms:modified>
</cp:coreProperties>
</file>