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A241" w14:textId="58925D62" w:rsidR="00D457C7" w:rsidRPr="00475417" w:rsidRDefault="00F700E7" w:rsidP="008A079D">
      <w:pPr>
        <w:pStyle w:val="Nzev"/>
        <w:spacing w:before="0" w:line="288" w:lineRule="auto"/>
      </w:pPr>
      <w:r w:rsidRPr="00475417">
        <w:t>DOHODA O NAROVNÁNÍ</w:t>
      </w:r>
    </w:p>
    <w:p w14:paraId="7E6178CB" w14:textId="52DE08E5" w:rsidR="00D457C7" w:rsidRPr="00475417" w:rsidRDefault="00CC78F0" w:rsidP="00D84364">
      <w:pPr>
        <w:pStyle w:val="Bodytext1PRK"/>
        <w:numPr>
          <w:ilvl w:val="0"/>
          <w:numId w:val="0"/>
        </w:numPr>
        <w:spacing w:after="480"/>
        <w:rPr>
          <w:i/>
          <w:iCs/>
        </w:rPr>
      </w:pPr>
      <w:r w:rsidRPr="00475417">
        <w:rPr>
          <w:i/>
          <w:iCs/>
        </w:rPr>
        <w:t>dle § 1903 a násl. zákona č. 89/2012 Sb., občanský zákoník, ve znění pozdějších předpisů (dále jen "</w:t>
      </w:r>
      <w:r w:rsidRPr="00475417">
        <w:rPr>
          <w:b/>
          <w:bCs/>
          <w:i/>
          <w:iCs/>
        </w:rPr>
        <w:t>OZ</w:t>
      </w:r>
      <w:r w:rsidRPr="00475417">
        <w:rPr>
          <w:i/>
          <w:iCs/>
        </w:rPr>
        <w:t>")</w:t>
      </w:r>
      <w:r w:rsidR="00E06078" w:rsidRPr="00475417">
        <w:rPr>
          <w:i/>
          <w:iCs/>
        </w:rPr>
        <w:t>, mezi</w:t>
      </w:r>
      <w:r w:rsidR="00D84364" w:rsidRPr="00475417">
        <w:rPr>
          <w:i/>
          <w:iCs/>
        </w:rPr>
        <w:t xml:space="preserve">: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5951"/>
      </w:tblGrid>
      <w:tr w:rsidR="00D84364" w:rsidRPr="00475417" w14:paraId="3B9A02F3" w14:textId="77777777" w:rsidTr="00D84364">
        <w:tc>
          <w:tcPr>
            <w:tcW w:w="567" w:type="dxa"/>
            <w:vMerge w:val="restart"/>
          </w:tcPr>
          <w:p w14:paraId="49A83C1C" w14:textId="6006D6A4" w:rsidR="00D84364" w:rsidRPr="00475417" w:rsidRDefault="00D84364" w:rsidP="00FA7903">
            <w:pPr>
              <w:rPr>
                <w:b/>
                <w:bCs/>
              </w:rPr>
            </w:pPr>
            <w:r w:rsidRPr="00475417">
              <w:rPr>
                <w:b/>
                <w:bCs/>
              </w:rPr>
              <w:t xml:space="preserve">1) </w:t>
            </w:r>
          </w:p>
        </w:tc>
        <w:tc>
          <w:tcPr>
            <w:tcW w:w="9070" w:type="dxa"/>
            <w:gridSpan w:val="2"/>
            <w:shd w:val="clear" w:color="auto" w:fill="auto"/>
          </w:tcPr>
          <w:p w14:paraId="29EB1BE6" w14:textId="06B798E9" w:rsidR="00D84364" w:rsidRPr="00475417" w:rsidRDefault="00FA7903" w:rsidP="00FA7903">
            <w:pPr>
              <w:spacing w:after="120"/>
            </w:pPr>
            <w:r w:rsidRPr="00475417">
              <w:rPr>
                <w:b/>
                <w:bCs/>
              </w:rPr>
              <w:t>Česká centra</w:t>
            </w:r>
            <w:r w:rsidRPr="00475417">
              <w:t xml:space="preserve">, </w:t>
            </w:r>
            <w:r w:rsidR="00CC78F0" w:rsidRPr="00475417">
              <w:t>příspěvková organizace Ministerstva zahraničních věcí ČR</w:t>
            </w:r>
          </w:p>
        </w:tc>
      </w:tr>
      <w:tr w:rsidR="00FA7903" w:rsidRPr="00475417" w14:paraId="039C36A7" w14:textId="77777777" w:rsidTr="00AD17C5">
        <w:tc>
          <w:tcPr>
            <w:tcW w:w="567" w:type="dxa"/>
            <w:vMerge/>
          </w:tcPr>
          <w:p w14:paraId="3CC29349" w14:textId="77777777" w:rsidR="00FA7903" w:rsidRPr="00475417" w:rsidRDefault="00FA7903" w:rsidP="00FA7903"/>
        </w:tc>
        <w:tc>
          <w:tcPr>
            <w:tcW w:w="9070" w:type="dxa"/>
            <w:gridSpan w:val="2"/>
          </w:tcPr>
          <w:p w14:paraId="0189194C" w14:textId="491B6E07" w:rsidR="00FA7903" w:rsidRPr="00475417" w:rsidRDefault="00375E1B" w:rsidP="00FA7903">
            <w:pPr>
              <w:spacing w:after="120"/>
              <w:jc w:val="both"/>
            </w:pPr>
            <w:r w:rsidRPr="00475417">
              <w:rPr>
                <w:b/>
                <w:bCs/>
              </w:rPr>
              <w:t>Kancelář generálního komisaře EXPO</w:t>
            </w:r>
          </w:p>
        </w:tc>
      </w:tr>
      <w:tr w:rsidR="00375E1B" w:rsidRPr="00475417" w14:paraId="6A8A3E87" w14:textId="77777777" w:rsidTr="00375E1B">
        <w:tc>
          <w:tcPr>
            <w:tcW w:w="567" w:type="dxa"/>
            <w:vMerge/>
          </w:tcPr>
          <w:p w14:paraId="13450877" w14:textId="77777777" w:rsidR="00375E1B" w:rsidRPr="00475417" w:rsidRDefault="00375E1B" w:rsidP="00FA7903"/>
        </w:tc>
        <w:tc>
          <w:tcPr>
            <w:tcW w:w="3119" w:type="dxa"/>
          </w:tcPr>
          <w:p w14:paraId="5A6287A2" w14:textId="69BB6A09" w:rsidR="00375E1B" w:rsidRPr="00475417" w:rsidRDefault="00375E1B" w:rsidP="00FA7903">
            <w:pPr>
              <w:spacing w:after="120"/>
            </w:pPr>
            <w:r w:rsidRPr="00475417">
              <w:t>s kontaktní adresou</w:t>
            </w:r>
            <w:r w:rsidR="001A752F">
              <w:t>:</w:t>
            </w:r>
          </w:p>
        </w:tc>
        <w:tc>
          <w:tcPr>
            <w:tcW w:w="5951" w:type="dxa"/>
          </w:tcPr>
          <w:p w14:paraId="10FA39DB" w14:textId="4FDFEDF1" w:rsidR="00375E1B" w:rsidRPr="00475417" w:rsidRDefault="00375E1B" w:rsidP="00FA7903">
            <w:pPr>
              <w:spacing w:after="120"/>
              <w:jc w:val="both"/>
            </w:pPr>
            <w:r w:rsidRPr="00475417">
              <w:t>Václavské náměstí 1282/51, 110 00 Praha 1</w:t>
            </w:r>
          </w:p>
        </w:tc>
      </w:tr>
      <w:tr w:rsidR="00D84364" w:rsidRPr="00475417" w14:paraId="4896A5E3" w14:textId="77777777" w:rsidTr="00375E1B">
        <w:tc>
          <w:tcPr>
            <w:tcW w:w="567" w:type="dxa"/>
            <w:vMerge/>
          </w:tcPr>
          <w:p w14:paraId="47AB82C4" w14:textId="77777777" w:rsidR="00D84364" w:rsidRPr="00475417" w:rsidRDefault="00D84364" w:rsidP="00FA7903"/>
        </w:tc>
        <w:tc>
          <w:tcPr>
            <w:tcW w:w="3119" w:type="dxa"/>
          </w:tcPr>
          <w:p w14:paraId="1E6FE731" w14:textId="1F9C628E" w:rsidR="00D84364" w:rsidRPr="00475417" w:rsidRDefault="00375E1B" w:rsidP="00FA7903">
            <w:pPr>
              <w:spacing w:after="120"/>
            </w:pPr>
            <w:r w:rsidRPr="00475417">
              <w:t>se sídlem</w:t>
            </w:r>
            <w:r w:rsidR="000F378D" w:rsidRPr="00475417">
              <w:t>:</w:t>
            </w:r>
          </w:p>
        </w:tc>
        <w:tc>
          <w:tcPr>
            <w:tcW w:w="5951" w:type="dxa"/>
          </w:tcPr>
          <w:p w14:paraId="4604FE25" w14:textId="57900D85" w:rsidR="00D84364" w:rsidRPr="00475417" w:rsidRDefault="00375E1B" w:rsidP="00FA7903">
            <w:pPr>
              <w:spacing w:after="120"/>
              <w:jc w:val="both"/>
            </w:pPr>
            <w:r w:rsidRPr="00475417">
              <w:t>Václavské náměstí 816/49, 110 00 Praha 1</w:t>
            </w:r>
          </w:p>
        </w:tc>
      </w:tr>
      <w:tr w:rsidR="00D84364" w:rsidRPr="00475417" w14:paraId="15D04569" w14:textId="77777777" w:rsidTr="00375E1B">
        <w:tc>
          <w:tcPr>
            <w:tcW w:w="567" w:type="dxa"/>
            <w:vMerge/>
          </w:tcPr>
          <w:p w14:paraId="22C5C46B" w14:textId="77777777" w:rsidR="00D84364" w:rsidRPr="00475417" w:rsidRDefault="00D84364" w:rsidP="00FA7903">
            <w:pPr>
              <w:jc w:val="both"/>
            </w:pPr>
          </w:p>
        </w:tc>
        <w:tc>
          <w:tcPr>
            <w:tcW w:w="3119" w:type="dxa"/>
          </w:tcPr>
          <w:p w14:paraId="5666C423" w14:textId="4D7D9F54" w:rsidR="00D84364" w:rsidRPr="00475417" w:rsidRDefault="006658B1" w:rsidP="00FA7903">
            <w:pPr>
              <w:spacing w:after="120"/>
              <w:jc w:val="both"/>
            </w:pPr>
            <w:r w:rsidRPr="00475417">
              <w:t>IČO</w:t>
            </w:r>
            <w:r w:rsidR="00D84364" w:rsidRPr="00475417">
              <w:t>:</w:t>
            </w:r>
          </w:p>
        </w:tc>
        <w:tc>
          <w:tcPr>
            <w:tcW w:w="5951" w:type="dxa"/>
          </w:tcPr>
          <w:p w14:paraId="3F7F6847" w14:textId="77777777" w:rsidR="00D84364" w:rsidRPr="00475417" w:rsidRDefault="00D84364" w:rsidP="00FA7903">
            <w:pPr>
              <w:spacing w:after="120"/>
              <w:jc w:val="both"/>
            </w:pPr>
            <w:r w:rsidRPr="00475417">
              <w:t>48546038</w:t>
            </w:r>
          </w:p>
        </w:tc>
      </w:tr>
      <w:tr w:rsidR="00D84364" w:rsidRPr="00475417" w14:paraId="604794BF" w14:textId="77777777" w:rsidTr="00375E1B">
        <w:tc>
          <w:tcPr>
            <w:tcW w:w="567" w:type="dxa"/>
            <w:vMerge/>
          </w:tcPr>
          <w:p w14:paraId="62479832" w14:textId="77777777" w:rsidR="00D84364" w:rsidRPr="00475417" w:rsidRDefault="00D84364" w:rsidP="00FA7903"/>
        </w:tc>
        <w:tc>
          <w:tcPr>
            <w:tcW w:w="3119" w:type="dxa"/>
          </w:tcPr>
          <w:p w14:paraId="5CC48F97" w14:textId="73B362DE" w:rsidR="00D84364" w:rsidRPr="00475417" w:rsidRDefault="000F378D" w:rsidP="00FA7903">
            <w:pPr>
              <w:spacing w:after="120"/>
            </w:pPr>
            <w:r w:rsidRPr="00475417">
              <w:t>z</w:t>
            </w:r>
            <w:r w:rsidR="006658B1" w:rsidRPr="00475417">
              <w:t>astoupena</w:t>
            </w:r>
            <w:r w:rsidRPr="00475417">
              <w:t>:</w:t>
            </w:r>
          </w:p>
        </w:tc>
        <w:tc>
          <w:tcPr>
            <w:tcW w:w="5951" w:type="dxa"/>
          </w:tcPr>
          <w:p w14:paraId="7BC56F31" w14:textId="3273A660" w:rsidR="00D84364" w:rsidRPr="00475417" w:rsidRDefault="00FD6F74" w:rsidP="00FA7903">
            <w:pPr>
              <w:spacing w:after="120"/>
            </w:pPr>
            <w:proofErr w:type="spellStart"/>
            <w:r>
              <w:t>xxxxxxxx</w:t>
            </w:r>
            <w:proofErr w:type="spellEnd"/>
            <w:r w:rsidR="006658B1" w:rsidRPr="00475417">
              <w:t>, generálním komisařem</w:t>
            </w:r>
          </w:p>
        </w:tc>
      </w:tr>
      <w:tr w:rsidR="00FA7903" w:rsidRPr="00475417" w14:paraId="3C03222E" w14:textId="77777777" w:rsidTr="0056149F">
        <w:tc>
          <w:tcPr>
            <w:tcW w:w="567" w:type="dxa"/>
            <w:vMerge/>
          </w:tcPr>
          <w:p w14:paraId="647C21B2" w14:textId="77777777" w:rsidR="00FA7903" w:rsidRPr="00475417" w:rsidRDefault="00FA7903" w:rsidP="00BE2A59"/>
        </w:tc>
        <w:tc>
          <w:tcPr>
            <w:tcW w:w="9070" w:type="dxa"/>
            <w:gridSpan w:val="2"/>
          </w:tcPr>
          <w:p w14:paraId="026D73E1" w14:textId="1F6DA673" w:rsidR="00FA7903" w:rsidRPr="00475417" w:rsidRDefault="006658B1" w:rsidP="00FA7903">
            <w:r w:rsidRPr="00475417">
              <w:t>(dále jen "</w:t>
            </w:r>
            <w:r w:rsidRPr="00475417">
              <w:rPr>
                <w:b/>
                <w:bCs/>
              </w:rPr>
              <w:t>KGK</w:t>
            </w:r>
            <w:r w:rsidRPr="00475417">
              <w:t>")</w:t>
            </w:r>
          </w:p>
        </w:tc>
      </w:tr>
      <w:tr w:rsidR="00D84364" w:rsidRPr="00475417" w14:paraId="3A749B94" w14:textId="77777777" w:rsidTr="00375E1B">
        <w:tc>
          <w:tcPr>
            <w:tcW w:w="567" w:type="dxa"/>
            <w:vMerge/>
          </w:tcPr>
          <w:p w14:paraId="03600D6E" w14:textId="77777777" w:rsidR="00D84364" w:rsidRPr="00475417" w:rsidRDefault="00D84364" w:rsidP="00BE2A59"/>
        </w:tc>
        <w:tc>
          <w:tcPr>
            <w:tcW w:w="3119" w:type="dxa"/>
          </w:tcPr>
          <w:p w14:paraId="5F431554" w14:textId="09259F61" w:rsidR="00D84364" w:rsidRPr="00475417" w:rsidRDefault="00D84364" w:rsidP="00BE2A59">
            <w:pPr>
              <w:spacing w:after="160" w:line="259" w:lineRule="auto"/>
            </w:pPr>
          </w:p>
        </w:tc>
        <w:tc>
          <w:tcPr>
            <w:tcW w:w="5951" w:type="dxa"/>
          </w:tcPr>
          <w:p w14:paraId="2B962776" w14:textId="77777777" w:rsidR="00D84364" w:rsidRPr="00475417" w:rsidRDefault="00D84364" w:rsidP="00BE2A59">
            <w:pPr>
              <w:jc w:val="center"/>
            </w:pPr>
          </w:p>
        </w:tc>
      </w:tr>
      <w:tr w:rsidR="00D84364" w:rsidRPr="00475417" w14:paraId="1B0C44D9" w14:textId="77777777" w:rsidTr="00375E1B">
        <w:tc>
          <w:tcPr>
            <w:tcW w:w="567" w:type="dxa"/>
            <w:vMerge/>
          </w:tcPr>
          <w:p w14:paraId="0CDD208D" w14:textId="77777777" w:rsidR="00D84364" w:rsidRPr="00475417" w:rsidRDefault="00D84364" w:rsidP="00BE2A59"/>
        </w:tc>
        <w:tc>
          <w:tcPr>
            <w:tcW w:w="3119" w:type="dxa"/>
          </w:tcPr>
          <w:p w14:paraId="26816212" w14:textId="63A7FAAB" w:rsidR="00D84364" w:rsidRPr="00475417" w:rsidRDefault="000F378D" w:rsidP="00BE2A59">
            <w:pPr>
              <w:spacing w:after="160" w:line="259" w:lineRule="auto"/>
            </w:pPr>
            <w:r w:rsidRPr="00475417">
              <w:t>a</w:t>
            </w:r>
          </w:p>
        </w:tc>
        <w:tc>
          <w:tcPr>
            <w:tcW w:w="5951" w:type="dxa"/>
          </w:tcPr>
          <w:p w14:paraId="4C9C1631" w14:textId="77777777" w:rsidR="00D84364" w:rsidRPr="00475417" w:rsidRDefault="00D84364" w:rsidP="00BE2A59">
            <w:pPr>
              <w:jc w:val="center"/>
            </w:pPr>
          </w:p>
        </w:tc>
      </w:tr>
      <w:tr w:rsidR="00D84364" w:rsidRPr="00475417" w14:paraId="7C2AF32F" w14:textId="77777777" w:rsidTr="00F36F70">
        <w:tc>
          <w:tcPr>
            <w:tcW w:w="567" w:type="dxa"/>
            <w:vMerge w:val="restart"/>
          </w:tcPr>
          <w:p w14:paraId="38F0A8A1" w14:textId="549FD4F8" w:rsidR="00D84364" w:rsidRPr="00475417" w:rsidRDefault="00D84364" w:rsidP="00BE2A59">
            <w:pPr>
              <w:rPr>
                <w:b/>
                <w:bCs/>
              </w:rPr>
            </w:pPr>
            <w:r w:rsidRPr="00475417">
              <w:rPr>
                <w:b/>
                <w:bCs/>
              </w:rPr>
              <w:t xml:space="preserve">2) </w:t>
            </w:r>
          </w:p>
        </w:tc>
        <w:tc>
          <w:tcPr>
            <w:tcW w:w="9070" w:type="dxa"/>
            <w:gridSpan w:val="2"/>
          </w:tcPr>
          <w:p w14:paraId="38C517B3" w14:textId="5B0FAF16" w:rsidR="00D84364" w:rsidRPr="00475417" w:rsidRDefault="000F378D" w:rsidP="00FA7903">
            <w:pPr>
              <w:spacing w:after="120"/>
            </w:pPr>
            <w:proofErr w:type="spellStart"/>
            <w:r w:rsidRPr="00475417">
              <w:rPr>
                <w:b/>
                <w:bCs/>
              </w:rPr>
              <w:t>Stora</w:t>
            </w:r>
            <w:proofErr w:type="spellEnd"/>
            <w:r w:rsidRPr="00475417">
              <w:rPr>
                <w:b/>
                <w:bCs/>
              </w:rPr>
              <w:t xml:space="preserve"> </w:t>
            </w:r>
            <w:proofErr w:type="spellStart"/>
            <w:r w:rsidRPr="00475417">
              <w:rPr>
                <w:b/>
                <w:bCs/>
              </w:rPr>
              <w:t>Enso</w:t>
            </w:r>
            <w:proofErr w:type="spellEnd"/>
            <w:r w:rsidRPr="00475417">
              <w:rPr>
                <w:b/>
                <w:bCs/>
              </w:rPr>
              <w:t xml:space="preserve"> </w:t>
            </w:r>
            <w:proofErr w:type="spellStart"/>
            <w:r w:rsidRPr="00475417">
              <w:rPr>
                <w:b/>
                <w:bCs/>
              </w:rPr>
              <w:t>Wood</w:t>
            </w:r>
            <w:proofErr w:type="spellEnd"/>
            <w:r w:rsidRPr="00475417">
              <w:rPr>
                <w:b/>
                <w:bCs/>
              </w:rPr>
              <w:t xml:space="preserve"> </w:t>
            </w:r>
            <w:proofErr w:type="spellStart"/>
            <w:r w:rsidRPr="00475417">
              <w:rPr>
                <w:b/>
                <w:bCs/>
              </w:rPr>
              <w:t>Products</w:t>
            </w:r>
            <w:proofErr w:type="spellEnd"/>
            <w:r w:rsidRPr="00475417">
              <w:rPr>
                <w:b/>
                <w:bCs/>
              </w:rPr>
              <w:t xml:space="preserve"> Ždírec s.r.o.</w:t>
            </w:r>
          </w:p>
        </w:tc>
      </w:tr>
      <w:tr w:rsidR="000F378D" w:rsidRPr="00475417" w14:paraId="36E31AB7" w14:textId="77777777" w:rsidTr="00375E1B">
        <w:tc>
          <w:tcPr>
            <w:tcW w:w="567" w:type="dxa"/>
            <w:vMerge/>
          </w:tcPr>
          <w:p w14:paraId="29E00D62" w14:textId="77777777" w:rsidR="000F378D" w:rsidRPr="00475417" w:rsidRDefault="000F378D" w:rsidP="000F378D"/>
        </w:tc>
        <w:tc>
          <w:tcPr>
            <w:tcW w:w="3119" w:type="dxa"/>
          </w:tcPr>
          <w:p w14:paraId="16C04504" w14:textId="5AB750CD" w:rsidR="000F378D" w:rsidRPr="00475417" w:rsidRDefault="000F378D" w:rsidP="000F378D">
            <w:pPr>
              <w:spacing w:after="120" w:line="259" w:lineRule="auto"/>
            </w:pPr>
            <w:r w:rsidRPr="00475417">
              <w:t>se sídlem:</w:t>
            </w:r>
          </w:p>
        </w:tc>
        <w:tc>
          <w:tcPr>
            <w:tcW w:w="5951" w:type="dxa"/>
          </w:tcPr>
          <w:p w14:paraId="69247681" w14:textId="010D0C64" w:rsidR="000F378D" w:rsidRPr="00475417" w:rsidRDefault="00136C82" w:rsidP="000F378D">
            <w:pPr>
              <w:spacing w:after="120" w:line="259" w:lineRule="auto"/>
              <w:rPr>
                <w:color w:val="000000"/>
                <w:lang w:eastAsia="cs-CZ" w:bidi="cs-CZ"/>
              </w:rPr>
            </w:pPr>
            <w:r w:rsidRPr="00475417">
              <w:t>Nádražní 66, 582 63 Ždírec nad Doubravou</w:t>
            </w:r>
          </w:p>
        </w:tc>
      </w:tr>
      <w:tr w:rsidR="000F378D" w:rsidRPr="00475417" w14:paraId="1BA3B109" w14:textId="77777777" w:rsidTr="00375E1B">
        <w:tc>
          <w:tcPr>
            <w:tcW w:w="567" w:type="dxa"/>
            <w:vMerge/>
          </w:tcPr>
          <w:p w14:paraId="07344385" w14:textId="77777777" w:rsidR="000F378D" w:rsidRPr="00475417" w:rsidRDefault="000F378D" w:rsidP="000F378D">
            <w:pPr>
              <w:rPr>
                <w:color w:val="000000"/>
                <w:lang w:eastAsia="cs-CZ" w:bidi="cs-CZ"/>
              </w:rPr>
            </w:pPr>
          </w:p>
        </w:tc>
        <w:tc>
          <w:tcPr>
            <w:tcW w:w="3119" w:type="dxa"/>
          </w:tcPr>
          <w:p w14:paraId="4184AEE1" w14:textId="58B62263" w:rsidR="000F378D" w:rsidRPr="00475417" w:rsidRDefault="000F378D" w:rsidP="000F378D">
            <w:pPr>
              <w:spacing w:after="120" w:line="259" w:lineRule="auto"/>
            </w:pPr>
            <w:r w:rsidRPr="00475417">
              <w:t>IČO:</w:t>
            </w:r>
          </w:p>
        </w:tc>
        <w:tc>
          <w:tcPr>
            <w:tcW w:w="5951" w:type="dxa"/>
          </w:tcPr>
          <w:p w14:paraId="1A35C3C2" w14:textId="6E45AA31" w:rsidR="000F378D" w:rsidRPr="00475417" w:rsidRDefault="00136C82" w:rsidP="000F378D">
            <w:pPr>
              <w:spacing w:after="120"/>
            </w:pPr>
            <w:r w:rsidRPr="00475417">
              <w:t>25264605</w:t>
            </w:r>
          </w:p>
        </w:tc>
      </w:tr>
      <w:tr w:rsidR="00136C82" w:rsidRPr="00475417" w14:paraId="30B85BAB" w14:textId="77777777" w:rsidTr="00375E1B">
        <w:tc>
          <w:tcPr>
            <w:tcW w:w="567" w:type="dxa"/>
            <w:vMerge/>
          </w:tcPr>
          <w:p w14:paraId="26B16B4D" w14:textId="77777777" w:rsidR="00136C82" w:rsidRPr="00475417" w:rsidRDefault="00136C82" w:rsidP="000F378D">
            <w:pPr>
              <w:rPr>
                <w:color w:val="000000"/>
                <w:lang w:eastAsia="cs-CZ" w:bidi="cs-CZ"/>
              </w:rPr>
            </w:pPr>
          </w:p>
        </w:tc>
        <w:tc>
          <w:tcPr>
            <w:tcW w:w="3119" w:type="dxa"/>
          </w:tcPr>
          <w:p w14:paraId="7F6E2510" w14:textId="0346FC45" w:rsidR="00136C82" w:rsidRPr="00475417" w:rsidRDefault="00C1766A" w:rsidP="000F378D">
            <w:pPr>
              <w:spacing w:after="120"/>
            </w:pPr>
            <w:r>
              <w:t>z</w:t>
            </w:r>
            <w:r w:rsidR="00136C82" w:rsidRPr="00475417">
              <w:t>apsaná</w:t>
            </w:r>
            <w:r w:rsidR="001A752F">
              <w:t>:</w:t>
            </w:r>
          </w:p>
        </w:tc>
        <w:tc>
          <w:tcPr>
            <w:tcW w:w="5951" w:type="dxa"/>
          </w:tcPr>
          <w:p w14:paraId="3F90CA94" w14:textId="4682CE58" w:rsidR="00136C82" w:rsidRPr="00475417" w:rsidRDefault="000159B9" w:rsidP="000F378D">
            <w:pPr>
              <w:spacing w:after="120"/>
            </w:pPr>
            <w:r w:rsidRPr="00475417">
              <w:t>v obchodním rejstříku pod spisovou značkou C 10951 vedené u Krajského soudu v Hradci Králové</w:t>
            </w:r>
          </w:p>
        </w:tc>
      </w:tr>
      <w:tr w:rsidR="000F378D" w:rsidRPr="00475417" w14:paraId="1270617A" w14:textId="77777777" w:rsidTr="00375E1B">
        <w:tc>
          <w:tcPr>
            <w:tcW w:w="567" w:type="dxa"/>
            <w:vMerge/>
          </w:tcPr>
          <w:p w14:paraId="59D290FA" w14:textId="77777777" w:rsidR="000F378D" w:rsidRPr="00475417" w:rsidRDefault="000F378D" w:rsidP="000F378D">
            <w:pPr>
              <w:rPr>
                <w:color w:val="000000"/>
                <w:lang w:eastAsia="cs-CZ" w:bidi="cs-CZ"/>
              </w:rPr>
            </w:pPr>
          </w:p>
        </w:tc>
        <w:tc>
          <w:tcPr>
            <w:tcW w:w="3119" w:type="dxa"/>
          </w:tcPr>
          <w:p w14:paraId="44D81821" w14:textId="4F2AC870" w:rsidR="000F378D" w:rsidRPr="00475417" w:rsidRDefault="000F378D" w:rsidP="000F378D">
            <w:pPr>
              <w:spacing w:after="120" w:line="259" w:lineRule="auto"/>
            </w:pPr>
            <w:r w:rsidRPr="00475417">
              <w:t>zastoupena:</w:t>
            </w:r>
          </w:p>
        </w:tc>
        <w:tc>
          <w:tcPr>
            <w:tcW w:w="5951" w:type="dxa"/>
          </w:tcPr>
          <w:p w14:paraId="3122785D" w14:textId="79D50E79" w:rsidR="000F378D" w:rsidRPr="00475417" w:rsidRDefault="00FD6F74" w:rsidP="000F378D">
            <w:pPr>
              <w:spacing w:after="120"/>
            </w:pPr>
            <w:proofErr w:type="spellStart"/>
            <w:r>
              <w:t>xxxxxxxxxx</w:t>
            </w:r>
            <w:proofErr w:type="spellEnd"/>
            <w:r w:rsidR="000159B9" w:rsidRPr="00475417">
              <w:t>, jednatelem</w:t>
            </w:r>
          </w:p>
        </w:tc>
      </w:tr>
      <w:tr w:rsidR="000F378D" w:rsidRPr="00475417" w14:paraId="6EEB8364" w14:textId="77777777" w:rsidTr="00DB6E9F">
        <w:tc>
          <w:tcPr>
            <w:tcW w:w="567" w:type="dxa"/>
            <w:vMerge/>
          </w:tcPr>
          <w:p w14:paraId="62E6F76A" w14:textId="77777777" w:rsidR="000F378D" w:rsidRPr="00475417" w:rsidRDefault="000F378D" w:rsidP="000F378D"/>
        </w:tc>
        <w:tc>
          <w:tcPr>
            <w:tcW w:w="9070" w:type="dxa"/>
            <w:gridSpan w:val="2"/>
          </w:tcPr>
          <w:p w14:paraId="61F77FB7" w14:textId="2DCE51EE" w:rsidR="000F378D" w:rsidRPr="00475417" w:rsidRDefault="000F378D" w:rsidP="000F378D">
            <w:pPr>
              <w:spacing w:after="120"/>
            </w:pPr>
            <w:r w:rsidRPr="00475417">
              <w:t>(dále jen "</w:t>
            </w:r>
            <w:r w:rsidR="00D15404" w:rsidRPr="00475417">
              <w:rPr>
                <w:b/>
                <w:bCs/>
              </w:rPr>
              <w:t>SEWP</w:t>
            </w:r>
            <w:r w:rsidRPr="00475417">
              <w:t>")</w:t>
            </w:r>
          </w:p>
        </w:tc>
      </w:tr>
      <w:tr w:rsidR="00D84364" w:rsidRPr="00475417" w14:paraId="0D672082" w14:textId="77777777" w:rsidTr="00D84364">
        <w:tc>
          <w:tcPr>
            <w:tcW w:w="567" w:type="dxa"/>
          </w:tcPr>
          <w:p w14:paraId="2D8CDE59" w14:textId="77777777" w:rsidR="00D84364" w:rsidRPr="00475417" w:rsidRDefault="00D84364" w:rsidP="00BE2A59"/>
        </w:tc>
        <w:tc>
          <w:tcPr>
            <w:tcW w:w="9070" w:type="dxa"/>
            <w:gridSpan w:val="2"/>
          </w:tcPr>
          <w:p w14:paraId="5C1C9374" w14:textId="310CD042" w:rsidR="00D84364" w:rsidRPr="00475417" w:rsidRDefault="00D84364" w:rsidP="00BE2A59">
            <w:r w:rsidRPr="00475417">
              <w:t>(</w:t>
            </w:r>
            <w:r w:rsidR="00D15404" w:rsidRPr="00475417">
              <w:t>d</w:t>
            </w:r>
            <w:r w:rsidR="004723EF" w:rsidRPr="00475417">
              <w:t>á</w:t>
            </w:r>
            <w:r w:rsidR="00D15404" w:rsidRPr="00475417">
              <w:t>le KGK a SEWP společně též "</w:t>
            </w:r>
            <w:r w:rsidR="00B644E7" w:rsidRPr="00B644E7">
              <w:rPr>
                <w:b/>
                <w:bCs/>
              </w:rPr>
              <w:t>Smluvní</w:t>
            </w:r>
            <w:r w:rsidR="00B644E7">
              <w:t xml:space="preserve"> </w:t>
            </w:r>
            <w:r w:rsidR="00B644E7">
              <w:rPr>
                <w:b/>
                <w:bCs/>
              </w:rPr>
              <w:t>s</w:t>
            </w:r>
            <w:r w:rsidR="00D15404" w:rsidRPr="00475417">
              <w:rPr>
                <w:b/>
                <w:bCs/>
              </w:rPr>
              <w:t>trany</w:t>
            </w:r>
            <w:r w:rsidR="00D15404" w:rsidRPr="00475417">
              <w:t>", samostatně i jako "</w:t>
            </w:r>
            <w:r w:rsidR="00D15404" w:rsidRPr="00475417">
              <w:rPr>
                <w:b/>
                <w:bCs/>
              </w:rPr>
              <w:t>Strana</w:t>
            </w:r>
            <w:r w:rsidR="00D15404" w:rsidRPr="00475417">
              <w:t>"</w:t>
            </w:r>
            <w:r w:rsidRPr="00475417">
              <w:t>)</w:t>
            </w:r>
          </w:p>
          <w:p w14:paraId="4F51BA5B" w14:textId="77777777" w:rsidR="00D84364" w:rsidRPr="00475417" w:rsidRDefault="00D84364" w:rsidP="00BE2A59">
            <w:pPr>
              <w:jc w:val="center"/>
            </w:pPr>
          </w:p>
        </w:tc>
      </w:tr>
    </w:tbl>
    <w:p w14:paraId="6B67ACFA" w14:textId="77777777" w:rsidR="00D84364" w:rsidRPr="00475417" w:rsidRDefault="00D84364" w:rsidP="00D84364">
      <w:pPr>
        <w:pStyle w:val="Bodytext1PRK"/>
        <w:numPr>
          <w:ilvl w:val="0"/>
          <w:numId w:val="0"/>
        </w:numPr>
        <w:spacing w:after="480"/>
        <w:rPr>
          <w:i/>
          <w:iCs/>
        </w:rPr>
      </w:pPr>
    </w:p>
    <w:p w14:paraId="5C24730C" w14:textId="1540664F" w:rsidR="00D457C7" w:rsidRPr="00475417" w:rsidRDefault="00E06078" w:rsidP="00CC672D">
      <w:pPr>
        <w:pStyle w:val="Bodytext1PRK"/>
        <w:keepNext/>
        <w:rPr>
          <w:b/>
          <w:bCs/>
        </w:rPr>
      </w:pPr>
      <w:r w:rsidRPr="00475417">
        <w:rPr>
          <w:b/>
          <w:bCs/>
        </w:rPr>
        <w:t>PREAMBULE</w:t>
      </w:r>
    </w:p>
    <w:p w14:paraId="015ADF0B" w14:textId="295E693B" w:rsidR="009971A9" w:rsidRPr="005F64B0" w:rsidRDefault="00475417" w:rsidP="009971A9">
      <w:pPr>
        <w:pStyle w:val="PreamblePRK"/>
        <w:keepNext/>
      </w:pPr>
      <w:r w:rsidRPr="00475417">
        <w:t xml:space="preserve">Dne 17. 12. 2024 uzavřely Smluvní strany kupní smlouvu č. Z04 24 2175 na </w:t>
      </w:r>
      <w:r w:rsidR="001D6668" w:rsidRPr="001D6668">
        <w:t>414,43</w:t>
      </w:r>
      <w:r w:rsidR="001D6668">
        <w:t> </w:t>
      </w:r>
      <w:r w:rsidRPr="00475417">
        <w:t>m³ smrkové kulatiny (dále jen "</w:t>
      </w:r>
      <w:r w:rsidRPr="00475417">
        <w:rPr>
          <w:b/>
          <w:bCs/>
        </w:rPr>
        <w:t>Smlouva SEWP 1</w:t>
      </w:r>
      <w:r w:rsidRPr="00475417">
        <w:t xml:space="preserve">"). Téhož dne, tj. 17. 12. 2024, </w:t>
      </w:r>
      <w:r w:rsidRPr="005F64B0">
        <w:t xml:space="preserve">uzavřely Smluvní strany kupní smlouvu č. Z04 24 2176 na </w:t>
      </w:r>
      <w:r w:rsidR="001D6668" w:rsidRPr="005F64B0">
        <w:t>140,10</w:t>
      </w:r>
      <w:r w:rsidRPr="005F64B0">
        <w:t xml:space="preserve"> m³ smrkové kulatiny (dále jen "</w:t>
      </w:r>
      <w:r w:rsidRPr="005F64B0">
        <w:rPr>
          <w:b/>
          <w:bCs/>
        </w:rPr>
        <w:t>Smlouva SEWP 2</w:t>
      </w:r>
      <w:r w:rsidRPr="005F64B0">
        <w:t>").</w:t>
      </w:r>
    </w:p>
    <w:p w14:paraId="162B59B4" w14:textId="23537F8B" w:rsidR="009971A9" w:rsidRPr="005F64B0" w:rsidRDefault="00475417" w:rsidP="009971A9">
      <w:pPr>
        <w:pStyle w:val="PreamblePRK"/>
      </w:pPr>
      <w:r w:rsidRPr="005F64B0">
        <w:t xml:space="preserve">KGK získala předmětnou smrkovou kulatinu na základě smlouvy o partnerské spolupráci č. VLS-SML-2024-1990-1900 uzavřené dne 6. 10. 2024 s Vojenskými lesy a statky ČR, </w:t>
      </w:r>
      <w:proofErr w:type="spellStart"/>
      <w:r w:rsidRPr="005F64B0">
        <w:t>s.p</w:t>
      </w:r>
      <w:proofErr w:type="spellEnd"/>
      <w:r w:rsidRPr="005F64B0">
        <w:t>., a na základě smlouvy o partnerské spolupráci číslo SMLDEU-10-135/2024 uzavřené dne 1.</w:t>
      </w:r>
      <w:r w:rsidR="00EE309D">
        <w:t> </w:t>
      </w:r>
      <w:r w:rsidRPr="005F64B0">
        <w:t>11.</w:t>
      </w:r>
      <w:r w:rsidR="00EE309D">
        <w:t> </w:t>
      </w:r>
      <w:r w:rsidRPr="005F64B0">
        <w:t>2024 se Správou Krkonošského národního parku.</w:t>
      </w:r>
    </w:p>
    <w:p w14:paraId="4B706CF2" w14:textId="43AE84BA" w:rsidR="00475417" w:rsidRDefault="00475417" w:rsidP="00D457C7">
      <w:pPr>
        <w:pStyle w:val="PreamblePRK"/>
      </w:pPr>
      <w:r w:rsidRPr="00475417">
        <w:lastRenderedPageBreak/>
        <w:t>Na základě Smlouvy SEWP 1 a Smlouvy SEWP 2 byla SEWP dodána předmětná smrková kulatina a SEWP uhradila KGK sjednanou kupní cenu.</w:t>
      </w:r>
    </w:p>
    <w:p w14:paraId="7D69D4B5" w14:textId="2C0E511D" w:rsidR="00475417" w:rsidRDefault="00475417" w:rsidP="00D457C7">
      <w:pPr>
        <w:pStyle w:val="PreamblePRK"/>
      </w:pPr>
      <w:r w:rsidRPr="00475417">
        <w:t>Smluvní strany následně zjistily, že výše uvedené kupní smlouvy (</w:t>
      </w:r>
      <w:r>
        <w:t xml:space="preserve">tj. </w:t>
      </w:r>
      <w:r w:rsidRPr="00475417">
        <w:t xml:space="preserve">Smlouva SEWP 1 a Smlouva SEWP 2) jsou neplatné z důvodu </w:t>
      </w:r>
      <w:r w:rsidR="005B3111">
        <w:t xml:space="preserve">nedodržení </w:t>
      </w:r>
      <w:r>
        <w:t xml:space="preserve">administrativního </w:t>
      </w:r>
      <w:r w:rsidR="005B3111">
        <w:t>postupu při uzavírání smluv</w:t>
      </w:r>
      <w:r w:rsidR="001C6365">
        <w:t xml:space="preserve"> podle zák. č. 219/2000 Sb., o majetku České republiky a jejím vystupování v právních vztazích, ve znění pozdějších změn.</w:t>
      </w:r>
      <w:r w:rsidR="00003619">
        <w:t xml:space="preserve"> </w:t>
      </w:r>
      <w:r w:rsidR="00003619" w:rsidRPr="00003619">
        <w:t xml:space="preserve">Původním smyslem a účelem Smlouvy SEWP 1 a Smlouvy SEWP 2 byla realizace prodeje smrkové kulatiny, kterou KGK získala od Vojenských lesů a statků ČR, </w:t>
      </w:r>
      <w:proofErr w:type="spellStart"/>
      <w:r w:rsidR="00003619" w:rsidRPr="00003619">
        <w:t>s.p</w:t>
      </w:r>
      <w:proofErr w:type="spellEnd"/>
      <w:r w:rsidR="00003619" w:rsidRPr="00003619">
        <w:t xml:space="preserve">. a Správy Krkonošského národního parku, ve prospěch SEWP, </w:t>
      </w:r>
      <w:r w:rsidR="005B3111">
        <w:t>který byl dosažen</w:t>
      </w:r>
      <w:r w:rsidR="00003619">
        <w:t>.</w:t>
      </w:r>
    </w:p>
    <w:p w14:paraId="3284BD59" w14:textId="325B6DB0" w:rsidR="00475417" w:rsidRPr="00017DDF" w:rsidRDefault="00475417" w:rsidP="001E4767">
      <w:pPr>
        <w:pStyle w:val="PreamblePRK"/>
      </w:pPr>
      <w:r>
        <w:t xml:space="preserve">Vzhledem k tomu, že KGK i SEWP již plnily na základě dvou neplatných smluv (tj. Smlouvy SEWP 1 a Smlouvy SEWP 2) vzniklo bezdůvodné obohacení dle § 2991 odst. 2 OZ. V tomto případě se jedná o plnění z právního důvodu, který odpadl (neplatné smlouvy). Toto bezdůvodné obohacení je nutné vypořádat dle § 2993 OZ navrácením vydaného plnění druhé straně. S </w:t>
      </w:r>
      <w:r w:rsidRPr="00017DDF">
        <w:t>ohledem na nemožnost vydání předmětu bezdůvodného obohacení (tj. dřeva) KGK, neboť ze strany SEWP již došlo ke zpracování předmětného dřeva, má KGK právo na peněžitou náhradu ve výši obvyklé ceny.</w:t>
      </w:r>
    </w:p>
    <w:p w14:paraId="38B61B92" w14:textId="1778564A" w:rsidR="00023D17" w:rsidRPr="00017DDF" w:rsidRDefault="00017DDF" w:rsidP="0097565F">
      <w:pPr>
        <w:pStyle w:val="PreamblePRK"/>
      </w:pPr>
      <w:r>
        <w:t>Dále d</w:t>
      </w:r>
      <w:r w:rsidRPr="00017DDF">
        <w:t>ne 27. 11. 2024 byla m</w:t>
      </w:r>
      <w:r w:rsidR="00023D17" w:rsidRPr="00017DDF">
        <w:t xml:space="preserve">ezi Smluvními stranami uzavřena smlouva o partnerské spolupráci, na základě které se SEWP stala partnerem české účasti na světové výstavě EXPO 2025 v Ósace. V rámci tohoto partnerství SEWP </w:t>
      </w:r>
      <w:r w:rsidR="00F777BC">
        <w:t>poskytla</w:t>
      </w:r>
      <w:r w:rsidR="00023D17" w:rsidRPr="00017DDF">
        <w:t xml:space="preserve"> KGK </w:t>
      </w:r>
      <w:r w:rsidRPr="00017DDF">
        <w:t>finanční plnění ve výši 250.000 Kč</w:t>
      </w:r>
      <w:r w:rsidR="00023D17" w:rsidRPr="00017DDF">
        <w:t xml:space="preserve">. Partnerství mezi KGK a SEWP je pro obě </w:t>
      </w:r>
      <w:r w:rsidR="00DA097B">
        <w:t xml:space="preserve">Smluvní </w:t>
      </w:r>
      <w:r w:rsidR="00023D17" w:rsidRPr="00017DDF">
        <w:t xml:space="preserve">strany strategicky významné – pro SEWP představuje příležitost popularizovat udržitelná stavební řešení a rozšířit své aktivity na </w:t>
      </w:r>
      <w:proofErr w:type="spellStart"/>
      <w:r w:rsidR="00023D17" w:rsidRPr="00017DDF">
        <w:t>indo</w:t>
      </w:r>
      <w:proofErr w:type="spellEnd"/>
      <w:r w:rsidR="00023D17" w:rsidRPr="00017DDF">
        <w:t xml:space="preserve">-pacifickém trhu, zatímco pro českou účast na EXPO 2025 je spolupráce s </w:t>
      </w:r>
      <w:r w:rsidR="00F24655" w:rsidRPr="00017DDF">
        <w:t>SEWP</w:t>
      </w:r>
      <w:r w:rsidR="00023D17" w:rsidRPr="00017DDF">
        <w:t xml:space="preserve"> důkazem schopnosti českých firem a českého know-how obstát v mezinárodní konkurenci.</w:t>
      </w:r>
    </w:p>
    <w:p w14:paraId="3D4C8528" w14:textId="78918A57" w:rsidR="00023D17" w:rsidRDefault="005B3111" w:rsidP="000A7B89">
      <w:pPr>
        <w:pStyle w:val="PreamblePRK"/>
      </w:pPr>
      <w:r>
        <w:t xml:space="preserve">S ohledem na to, že byl naplněn účel uzavřených smluv a </w:t>
      </w:r>
      <w:r w:rsidR="00023D17">
        <w:t>Smluvní strany mají zájem na zachování dobrých vztahů a na vyřešení veškerých sporných otázek smírnou cestou tak, aby nebyla ohrožena jejich vzájemná spolupráce, dobrá pověst a úspěšná prezentace České republiky na světové výstavě EXPO 2025.</w:t>
      </w:r>
    </w:p>
    <w:p w14:paraId="287E851A" w14:textId="30D8F2C4" w:rsidR="0087371E" w:rsidRPr="00475417" w:rsidRDefault="00475417" w:rsidP="000A7B89">
      <w:pPr>
        <w:pStyle w:val="PreamblePRK"/>
      </w:pPr>
      <w:r w:rsidRPr="00475417">
        <w:t xml:space="preserve">Smluvní strany mají zájem na narovnání svých vzájemných práv a povinností a na právním vyřešení vzniklé situace, a proto </w:t>
      </w:r>
      <w:r w:rsidR="004723EF" w:rsidRPr="00475417">
        <w:t xml:space="preserve">níže uvedeného dne, měsíce a roku, v souladu s ustanovením § </w:t>
      </w:r>
      <w:r w:rsidR="00D91076" w:rsidRPr="00475417">
        <w:t>1903 a násl. OZ</w:t>
      </w:r>
      <w:r w:rsidR="004723EF" w:rsidRPr="00475417">
        <w:t xml:space="preserve"> uzavírají tuto </w:t>
      </w:r>
      <w:r w:rsidR="00D91076" w:rsidRPr="00475417">
        <w:t>dohodu o narovnání</w:t>
      </w:r>
      <w:r w:rsidR="004723EF" w:rsidRPr="00475417">
        <w:t xml:space="preserve"> (dále jen </w:t>
      </w:r>
      <w:r w:rsidR="00D91076" w:rsidRPr="00475417">
        <w:t>"</w:t>
      </w:r>
      <w:r w:rsidR="00D91076" w:rsidRPr="005B3111">
        <w:rPr>
          <w:b/>
          <w:bCs/>
        </w:rPr>
        <w:t>Dohoda</w:t>
      </w:r>
      <w:r w:rsidR="00D91076" w:rsidRPr="00475417">
        <w:t>")</w:t>
      </w:r>
      <w:r w:rsidR="0087371E" w:rsidRPr="00475417">
        <w:t>.</w:t>
      </w:r>
    </w:p>
    <w:p w14:paraId="6FF56AE5" w14:textId="6F59DD4E" w:rsidR="00D457C7" w:rsidRPr="00475417" w:rsidRDefault="009971A9" w:rsidP="00D457C7">
      <w:pPr>
        <w:pStyle w:val="Heading1PRK"/>
      </w:pPr>
      <w:r w:rsidRPr="00475417">
        <w:t>Narovnání</w:t>
      </w:r>
    </w:p>
    <w:p w14:paraId="205750DC" w14:textId="72A5CCF7" w:rsidR="009971A9" w:rsidRDefault="00003619" w:rsidP="009971A9">
      <w:pPr>
        <w:pStyle w:val="Heading2PRK"/>
      </w:pPr>
      <w:r w:rsidRPr="00003619">
        <w:t xml:space="preserve">Smluvní strany shodně prohlašují, že Smlouva SEWP 1 a Smlouva SEWP 2 jsou neplatné z důvodu </w:t>
      </w:r>
      <w:r>
        <w:t>administrativního pochybení</w:t>
      </w:r>
      <w:r w:rsidRPr="00003619">
        <w:t xml:space="preserve"> na straně KGK, jak je uvedeno v preambuli této </w:t>
      </w:r>
      <w:r>
        <w:t>D</w:t>
      </w:r>
      <w:r w:rsidRPr="00003619">
        <w:t>ohody.</w:t>
      </w:r>
    </w:p>
    <w:p w14:paraId="1365B5A7" w14:textId="0650D228" w:rsidR="00003619" w:rsidRDefault="00003619" w:rsidP="00003619">
      <w:pPr>
        <w:pStyle w:val="Heading2PRK"/>
      </w:pPr>
      <w:r>
        <w:t>Smluvní strany se dohodly, že vzájemné bezdůvodné obohacení vzniklé na základě neplatných kupních smluv (tj. Smlouvy SEWP 1 a Smlouvy SEWP 2) vypořádají následujícím způsobem:</w:t>
      </w:r>
    </w:p>
    <w:p w14:paraId="3FF689FB" w14:textId="4B5DA134" w:rsidR="00003619" w:rsidRDefault="00003619" w:rsidP="00003619">
      <w:pPr>
        <w:pStyle w:val="Heading3PRK"/>
      </w:pPr>
      <w:r>
        <w:t xml:space="preserve">SEWP nebude vracet dodanou smrkovou kulatinu v celkovém množství </w:t>
      </w:r>
      <w:r w:rsidR="001D6668" w:rsidRPr="001D6668">
        <w:t>554,53</w:t>
      </w:r>
      <w:r>
        <w:t xml:space="preserve"> m³;</w:t>
      </w:r>
    </w:p>
    <w:p w14:paraId="70183281" w14:textId="4566DC65" w:rsidR="00003619" w:rsidRDefault="00003619" w:rsidP="00003619">
      <w:pPr>
        <w:pStyle w:val="Heading3PRK"/>
      </w:pPr>
      <w:r>
        <w:lastRenderedPageBreak/>
        <w:t xml:space="preserve">KGK si ponechá přijaté plnění (kupní cenu) od SEWP ve výši </w:t>
      </w:r>
      <w:r w:rsidR="001D6668" w:rsidRPr="001D6668">
        <w:t>1</w:t>
      </w:r>
      <w:r w:rsidR="001D6668">
        <w:t>.</w:t>
      </w:r>
      <w:r w:rsidR="001D6668" w:rsidRPr="001D6668">
        <w:t>235</w:t>
      </w:r>
      <w:r w:rsidR="001D6668">
        <w:t>.</w:t>
      </w:r>
      <w:r w:rsidR="001D6668" w:rsidRPr="001D6668">
        <w:t>325,1</w:t>
      </w:r>
      <w:r w:rsidR="001D6668">
        <w:t>0</w:t>
      </w:r>
      <w:r>
        <w:t xml:space="preserve"> Kč </w:t>
      </w:r>
      <w:r w:rsidR="005B3111">
        <w:t>plus</w:t>
      </w:r>
      <w:r w:rsidR="001D6668">
        <w:t xml:space="preserve"> DPH </w:t>
      </w:r>
      <w:r>
        <w:t xml:space="preserve">za dodávku dle Smlouvy SEWP 1 a ve výši </w:t>
      </w:r>
      <w:r w:rsidR="001D6668" w:rsidRPr="001D6668">
        <w:t>353</w:t>
      </w:r>
      <w:r w:rsidR="001D6668">
        <w:t>.</w:t>
      </w:r>
      <w:r w:rsidR="001D6668" w:rsidRPr="001D6668">
        <w:t>566,2</w:t>
      </w:r>
      <w:r w:rsidR="001D6668">
        <w:t xml:space="preserve">0 </w:t>
      </w:r>
      <w:r>
        <w:t xml:space="preserve">Kč </w:t>
      </w:r>
      <w:r w:rsidR="005B3111">
        <w:t xml:space="preserve">plus </w:t>
      </w:r>
      <w:r w:rsidR="001D6668">
        <w:t xml:space="preserve">DPH </w:t>
      </w:r>
      <w:r>
        <w:t>za dodávku dle Smlouvy SEWP 2;</w:t>
      </w:r>
    </w:p>
    <w:p w14:paraId="6B567446" w14:textId="38E71D4D" w:rsidR="00003619" w:rsidRDefault="00003619" w:rsidP="00003619">
      <w:pPr>
        <w:pStyle w:val="Heading3PRK"/>
      </w:pPr>
      <w:r>
        <w:t>Smluvní strany prohlašují, že považují výše uvedené vzájemné bezdůvodné obohacení za zcela vypořádané</w:t>
      </w:r>
      <w:r w:rsidR="001D6668">
        <w:t>;</w:t>
      </w:r>
    </w:p>
    <w:p w14:paraId="7F59FE9B" w14:textId="6F1CD614" w:rsidR="001D6668" w:rsidRDefault="001D6668" w:rsidP="00003619">
      <w:pPr>
        <w:pStyle w:val="Heading3PRK"/>
      </w:pPr>
      <w:r w:rsidRPr="001D6668">
        <w:t xml:space="preserve">KGK se zavazuje splnit veškeré daňové povinnosti vyplývající z této </w:t>
      </w:r>
      <w:r w:rsidR="00023D17">
        <w:t>D</w:t>
      </w:r>
      <w:r w:rsidRPr="001D6668">
        <w:t>ohody o narovnání</w:t>
      </w:r>
      <w:r>
        <w:t xml:space="preserve"> a objasnit situaci správci daně.</w:t>
      </w:r>
    </w:p>
    <w:p w14:paraId="6EB7938B" w14:textId="6F355F86" w:rsidR="00003619" w:rsidRDefault="00003619" w:rsidP="001D6668">
      <w:pPr>
        <w:pStyle w:val="Heading2PRK"/>
      </w:pPr>
      <w:r>
        <w:t>Smluvní strany prohlašují, že tímto vypořádáním jsou veškeré jejich vzájemné nároky z titulu bezdůvodného obohacení ze Smlouvy SEWP 1 a Smlouvy SEWP 2 zcela a řádně vypořádány.</w:t>
      </w:r>
    </w:p>
    <w:p w14:paraId="47C00602" w14:textId="75FCF594" w:rsidR="001D6668" w:rsidRDefault="001D6668" w:rsidP="001D6668">
      <w:pPr>
        <w:pStyle w:val="Heading2PRK"/>
      </w:pPr>
      <w:r>
        <w:t>Smluvní strany shodně prohlašují, že uzavřením této Dohody o narovnání jsou veškeré sporné či pochybné vzájemné nároky mezi Smluvními stranami, které vznikly v souvislosti se Smlouvou SEWP 1 a Smlouvou SEWP 2, v plném rozsahu nahrazeny právy a povinnostmi vyplývajícími z této Dohody o narovnání.</w:t>
      </w:r>
    </w:p>
    <w:p w14:paraId="2CB34FC6" w14:textId="5E97D840" w:rsidR="001D6668" w:rsidRDefault="001D6668" w:rsidP="001D6668">
      <w:pPr>
        <w:pStyle w:val="Heading2PRK"/>
      </w:pPr>
      <w:r>
        <w:t>SEWP prohlašuje, že po splnění povinností stanovených v této Dohodě nebude vůči KGK uplatňovat žádné další nároky vyplývající z neplatnosti Smlouvy SEWP 1 a Smlouvy SEWP 2, včetně nároků z titulu bezdůvodného obohacení, náhrady škody či předsmluvní odpovědnosti.</w:t>
      </w:r>
    </w:p>
    <w:p w14:paraId="7608189F" w14:textId="5237604A" w:rsidR="001D6668" w:rsidRDefault="001D6668" w:rsidP="001D6668">
      <w:pPr>
        <w:pStyle w:val="Heading2PRK"/>
      </w:pPr>
      <w:r>
        <w:t>KGK prohlašuje, že po splnění povinností stanovených v této Dohodě nebude vůči SEWP uplatňovat žádné další nároky vyplývající z neplatnosti Smlouvy SEWP 1 a Smlouvy SEWP 2, včetně nároků z titulu bezdůvodného obohacení, náhrady škody či předsmluvní odpovědnosti.</w:t>
      </w:r>
    </w:p>
    <w:p w14:paraId="7E1B8B66" w14:textId="34FFF80E" w:rsidR="00D457C7" w:rsidRPr="00475417" w:rsidRDefault="009971A9" w:rsidP="00D457C7">
      <w:pPr>
        <w:pStyle w:val="Heading1PRK"/>
      </w:pPr>
      <w:r w:rsidRPr="00475417">
        <w:t>ZÁVĚREČNÁ USTANOVENÍ</w:t>
      </w:r>
    </w:p>
    <w:p w14:paraId="224DC946" w14:textId="28FCF943" w:rsidR="009971A9" w:rsidRPr="00475417" w:rsidRDefault="009971A9" w:rsidP="009971A9">
      <w:pPr>
        <w:pStyle w:val="Heading2PRK"/>
      </w:pPr>
      <w:r w:rsidRPr="00475417">
        <w:t>Dohoda je uzavřena</w:t>
      </w:r>
      <w:r w:rsidR="00D91076" w:rsidRPr="00475417">
        <w:t xml:space="preserve"> a nabývá platnosti</w:t>
      </w:r>
      <w:r w:rsidRPr="00475417">
        <w:t xml:space="preserve">, jakmile ji podepíše poslední </w:t>
      </w:r>
      <w:r w:rsidR="00C93521">
        <w:t>S</w:t>
      </w:r>
      <w:r w:rsidRPr="00475417">
        <w:t>trana.</w:t>
      </w:r>
      <w:r w:rsidR="00D91076" w:rsidRPr="00475417">
        <w:t xml:space="preserve"> Účinnosti Dohoda nabyde dnem uveřejnění Dohody v registru smluv.</w:t>
      </w:r>
    </w:p>
    <w:p w14:paraId="4BF2F7D3" w14:textId="6D0B9100" w:rsidR="00D91076" w:rsidRPr="00475417" w:rsidRDefault="00D91076" w:rsidP="009971A9">
      <w:pPr>
        <w:pStyle w:val="Heading2PRK"/>
      </w:pPr>
      <w:r w:rsidRPr="00475417">
        <w:t xml:space="preserve">SEWP bere na vědomí, že KGK je povinným subjektem dle zákona č. 340/2015 Sb., o zvláštních podmínkách účinnosti některých smluv, uveřejňování těchto smluv a o registru smluv (zákon o registru smluv), ve znění pozdějších předpisů. Smluvní strany se dohodly, že plnění povinností dle tohoto zákona spočívající v uveřejňování </w:t>
      </w:r>
      <w:r w:rsidR="00561503" w:rsidRPr="00475417">
        <w:t>Dohody</w:t>
      </w:r>
      <w:r w:rsidRPr="00475417">
        <w:t xml:space="preserve"> či </w:t>
      </w:r>
      <w:r w:rsidR="00023D17">
        <w:t>případných</w:t>
      </w:r>
      <w:r w:rsidR="00561503" w:rsidRPr="00475417">
        <w:t xml:space="preserve"> </w:t>
      </w:r>
      <w:r w:rsidRPr="00475417">
        <w:t>dodatků v souladu a za podmínek zákona o registru smluv bude zajišťovat KGK.</w:t>
      </w:r>
    </w:p>
    <w:p w14:paraId="15396FB3" w14:textId="7B4CEA17" w:rsidR="00561503" w:rsidRPr="00475417" w:rsidRDefault="00561503" w:rsidP="00561503">
      <w:pPr>
        <w:pStyle w:val="Heading2PRK"/>
      </w:pPr>
      <w:r w:rsidRPr="00475417">
        <w:t>Smluvní strany prohlašují, že se podmínkami této Dohody na základě vzájemné dohody řídily již ode dne uzavření této Dohody a veškerá svá vzájemná plnění poskytnutá ode dne uzavření této Dohody do dne nabytí účinnosti této Dohody považují za plnění poskytnutá podle této Dohody.</w:t>
      </w:r>
    </w:p>
    <w:p w14:paraId="577EE903" w14:textId="23B0CF71" w:rsidR="00561503" w:rsidRPr="00475417" w:rsidRDefault="00561503" w:rsidP="00561503">
      <w:pPr>
        <w:pStyle w:val="Heading2PRK"/>
      </w:pPr>
      <w:r w:rsidRPr="00475417">
        <w:t xml:space="preserve">Dohoda představuje úplné ujednání mezi Smluvními stranami o záležitostech v ní upravených a nahrazuje jejich dřívější ústní, písemná, </w:t>
      </w:r>
      <w:proofErr w:type="spellStart"/>
      <w:r w:rsidRPr="00475417">
        <w:t>tacitní</w:t>
      </w:r>
      <w:proofErr w:type="spellEnd"/>
      <w:r w:rsidRPr="00475417">
        <w:t xml:space="preserve"> i konkludentní ujednání uzavřená o těchto záležitostech. </w:t>
      </w:r>
    </w:p>
    <w:p w14:paraId="09152183" w14:textId="10420998" w:rsidR="00561503" w:rsidRPr="00475417" w:rsidRDefault="00561503" w:rsidP="00561503">
      <w:pPr>
        <w:pStyle w:val="Heading2PRK"/>
      </w:pPr>
      <w:r w:rsidRPr="00475417">
        <w:lastRenderedPageBreak/>
        <w:t xml:space="preserve">Dohodu nelze postoupit jako celek ani z části ve smyslu ustanovení § 1895 a násl. </w:t>
      </w:r>
      <w:r w:rsidR="00C62B1E">
        <w:t>OZ</w:t>
      </w:r>
      <w:r w:rsidRPr="00475417">
        <w:t>.</w:t>
      </w:r>
    </w:p>
    <w:p w14:paraId="1D2F4019" w14:textId="3DFCC32F" w:rsidR="009971A9" w:rsidRPr="00475417" w:rsidRDefault="009971A9" w:rsidP="009971A9">
      <w:pPr>
        <w:pStyle w:val="Heading2PRK"/>
      </w:pPr>
      <w:r w:rsidRPr="00475417">
        <w:t xml:space="preserve">Změna či zrušení závazku z </w:t>
      </w:r>
      <w:r w:rsidR="00561503" w:rsidRPr="00475417">
        <w:t>D</w:t>
      </w:r>
      <w:r w:rsidRPr="00475417">
        <w:t xml:space="preserve">ohody, stejně jako vedlejší ujednání vyžadují písemnou formu. Zrušení povinnosti písemné formy dle předchozí věty vyžaduje též písemnou formu; splnění či jiné následné chování </w:t>
      </w:r>
      <w:r w:rsidR="00311664">
        <w:t xml:space="preserve">Smluvních </w:t>
      </w:r>
      <w:r w:rsidRPr="00475417">
        <w:t>stran na základě jiné než písemné změny je bez významu.</w:t>
      </w:r>
    </w:p>
    <w:p w14:paraId="38BAC55E" w14:textId="3C244878" w:rsidR="009971A9" w:rsidRPr="00475417" w:rsidRDefault="009971A9" w:rsidP="009971A9">
      <w:pPr>
        <w:pStyle w:val="Heading2PRK"/>
      </w:pPr>
      <w:r w:rsidRPr="00475417">
        <w:t xml:space="preserve">Je-li některé ujednání v </w:t>
      </w:r>
      <w:r w:rsidR="009C67B4">
        <w:t>D</w:t>
      </w:r>
      <w:r w:rsidRPr="00475417">
        <w:t xml:space="preserve">ohodě zdánlivé, neplatné nebo nevymahatelné, nemá to vliv na existenci či platnost </w:t>
      </w:r>
      <w:r w:rsidR="009C67B4">
        <w:t>D</w:t>
      </w:r>
      <w:r w:rsidRPr="00475417">
        <w:t xml:space="preserve">ohody jako celku. Na místo zdánlivého, neplatného či nevymahatelného ujednání vstoupí taková právní úprava, jejíž účinky se nejvíce podobají hospodářskému cíli, který </w:t>
      </w:r>
      <w:r w:rsidR="00B644E7">
        <w:t xml:space="preserve">Smluvní </w:t>
      </w:r>
      <w:r w:rsidRPr="00475417">
        <w:t xml:space="preserve">strany sledují. Přitom se přihlédne zejména k okolnostem, za nichž byla </w:t>
      </w:r>
      <w:r w:rsidR="009C67B4">
        <w:t>D</w:t>
      </w:r>
      <w:r w:rsidRPr="00475417">
        <w:t xml:space="preserve">ohoda uzavírána, jakož i k tomu, aby byly práva a povinnosti </w:t>
      </w:r>
      <w:r w:rsidR="00C10F76">
        <w:t xml:space="preserve">Smluvních </w:t>
      </w:r>
      <w:r w:rsidRPr="00475417">
        <w:t>stran poctivě uspořádány.</w:t>
      </w:r>
    </w:p>
    <w:p w14:paraId="2778C5D8" w14:textId="7F0B9FE7" w:rsidR="00A23FFC" w:rsidRDefault="00A23FFC" w:rsidP="004E5339">
      <w:pPr>
        <w:pStyle w:val="Heading2PRK"/>
      </w:pPr>
      <w:r w:rsidRPr="00A23FFC">
        <w:t xml:space="preserve">Tato </w:t>
      </w:r>
      <w:r>
        <w:t>D</w:t>
      </w:r>
      <w:r w:rsidRPr="00A23FFC">
        <w:t>o</w:t>
      </w:r>
      <w:r>
        <w:t xml:space="preserve">hoda </w:t>
      </w:r>
      <w:r w:rsidRPr="00A23FFC">
        <w:t>a veškeré vztahy z ní vyplývající se řídí právním řádem České republiky.</w:t>
      </w:r>
    </w:p>
    <w:p w14:paraId="4A65E1DE" w14:textId="4B64F1D9" w:rsidR="004E5339" w:rsidRDefault="004E5339" w:rsidP="004E5339">
      <w:pPr>
        <w:pStyle w:val="Heading2PRK"/>
      </w:pPr>
      <w:r w:rsidRPr="003176E2">
        <w:t xml:space="preserve">Tato </w:t>
      </w:r>
      <w:r>
        <w:t>Dohoda</w:t>
      </w:r>
      <w:r w:rsidRPr="003176E2">
        <w:t xml:space="preserve"> je podepsána vlastnoručně, nebo elektronicky. Je-li </w:t>
      </w:r>
      <w:r w:rsidR="005F3B92">
        <w:t>Dohoda</w:t>
      </w:r>
      <w:r w:rsidRPr="003176E2">
        <w:t xml:space="preserve"> podepsána vlastnoručně, je vyhotovena ve dvou (2) stejnopisech, z nichž každý bude považován za prvopis. Každá Strana obdrží jeden (1) stejnopis této </w:t>
      </w:r>
      <w:r w:rsidR="005F3B92">
        <w:t>Dohody</w:t>
      </w:r>
      <w:r w:rsidRPr="003176E2">
        <w:t xml:space="preserve">. Je-li tato </w:t>
      </w:r>
      <w:r w:rsidR="005F3B92">
        <w:t>Dohoda</w:t>
      </w:r>
      <w:r w:rsidR="005F3B92" w:rsidRPr="003176E2">
        <w:t xml:space="preserve"> </w:t>
      </w:r>
      <w:r w:rsidRPr="003176E2">
        <w:t xml:space="preserve">podepsána elektronicky, je podepsána pomocí elektronického podpisu dle zákona č. 297/2016 Sb., o službách vytvářejících důvěru pro elektronické transakce, ve znění pozdějších předpisů, </w:t>
      </w:r>
      <w:r w:rsidR="007200D1" w:rsidRPr="00174AAE">
        <w:t>osobou oprávněnou jednat za příslušnou Stranu</w:t>
      </w:r>
      <w:r w:rsidRPr="003176E2">
        <w:t>.</w:t>
      </w:r>
    </w:p>
    <w:p w14:paraId="6D1E30C3" w14:textId="408261D6" w:rsidR="00240697" w:rsidRDefault="00240697" w:rsidP="00264E45">
      <w:pPr>
        <w:pStyle w:val="Heading2PRK"/>
        <w:tabs>
          <w:tab w:val="clear" w:pos="0"/>
        </w:tabs>
        <w:spacing w:after="480"/>
        <w:ind w:left="698"/>
      </w:pPr>
      <w:r w:rsidRPr="004F0B33">
        <w:t xml:space="preserve">Smluvní strany po přečtení </w:t>
      </w:r>
      <w:r>
        <w:t xml:space="preserve">této Dohody prohlašují, že souhlasí s jejím obsahem, že byla sepsána vážně, určitě, srozumitelně a na základě jejich pravé a svobodné vůle a že svým podpisem na této Dohodě potvrzují udělení všech souhlasů, které byly potvrzeny, uděleny a který tato Dohoda předpokládá, na důkaz čehož připojují své podpisy. </w:t>
      </w:r>
    </w:p>
    <w:tbl>
      <w:tblPr>
        <w:tblStyle w:val="Mkatabulky"/>
        <w:tblW w:w="103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4201"/>
        <w:gridCol w:w="422"/>
        <w:gridCol w:w="853"/>
        <w:gridCol w:w="4153"/>
      </w:tblGrid>
      <w:tr w:rsidR="002A3B68" w:rsidRPr="00475417" w14:paraId="66B552BE" w14:textId="77777777" w:rsidTr="00BE2A59">
        <w:trPr>
          <w:trHeight w:val="626"/>
          <w:jc w:val="center"/>
        </w:trPr>
        <w:tc>
          <w:tcPr>
            <w:tcW w:w="756" w:type="dxa"/>
          </w:tcPr>
          <w:p w14:paraId="02C22AFD" w14:textId="226F4B2B" w:rsidR="002A3B68" w:rsidRPr="00475417" w:rsidRDefault="00CB58EF" w:rsidP="00BE2A59">
            <w:pPr>
              <w:pStyle w:val="Heading2PRK"/>
              <w:numPr>
                <w:ilvl w:val="0"/>
                <w:numId w:val="0"/>
              </w:numPr>
            </w:pPr>
            <w:r>
              <w:t>V</w:t>
            </w:r>
          </w:p>
        </w:tc>
        <w:tc>
          <w:tcPr>
            <w:tcW w:w="4201" w:type="dxa"/>
          </w:tcPr>
          <w:p w14:paraId="6DF7D2B8" w14:textId="4791D31A" w:rsidR="002A3B68" w:rsidRPr="00475417" w:rsidRDefault="009971A9" w:rsidP="00BE2A59">
            <w:pPr>
              <w:pStyle w:val="Heading2PRK"/>
              <w:numPr>
                <w:ilvl w:val="0"/>
                <w:numId w:val="0"/>
              </w:numPr>
            </w:pPr>
            <w:r w:rsidRPr="00475417">
              <w:t>Ósace</w:t>
            </w:r>
            <w:r w:rsidR="00FD6F74">
              <w:t xml:space="preserve"> 13.5.2025</w:t>
            </w:r>
          </w:p>
        </w:tc>
        <w:tc>
          <w:tcPr>
            <w:tcW w:w="422" w:type="dxa"/>
          </w:tcPr>
          <w:p w14:paraId="575BE07E" w14:textId="77777777" w:rsidR="002A3B68" w:rsidRPr="00475417" w:rsidRDefault="002A3B68" w:rsidP="00BE2A59">
            <w:pPr>
              <w:pStyle w:val="Heading2PRK"/>
              <w:numPr>
                <w:ilvl w:val="0"/>
                <w:numId w:val="0"/>
              </w:numPr>
            </w:pPr>
          </w:p>
        </w:tc>
        <w:tc>
          <w:tcPr>
            <w:tcW w:w="853" w:type="dxa"/>
          </w:tcPr>
          <w:p w14:paraId="7AC03815" w14:textId="53F6B76C" w:rsidR="002A3B68" w:rsidRPr="00475417" w:rsidRDefault="009971A9" w:rsidP="00BE2A59">
            <w:pPr>
              <w:pStyle w:val="Heading2PRK"/>
              <w:numPr>
                <w:ilvl w:val="0"/>
                <w:numId w:val="0"/>
              </w:numPr>
            </w:pPr>
            <w:r w:rsidRPr="00475417">
              <w:t>Ve</w:t>
            </w:r>
          </w:p>
        </w:tc>
        <w:tc>
          <w:tcPr>
            <w:tcW w:w="4153" w:type="dxa"/>
          </w:tcPr>
          <w:p w14:paraId="3B347690" w14:textId="60D0A6E8" w:rsidR="002A3B68" w:rsidRPr="00475417" w:rsidRDefault="009971A9" w:rsidP="00BE2A59">
            <w:pPr>
              <w:pStyle w:val="Heading2PRK"/>
              <w:numPr>
                <w:ilvl w:val="0"/>
                <w:numId w:val="0"/>
              </w:numPr>
            </w:pPr>
            <w:r w:rsidRPr="00475417">
              <w:t>Ždírci nad Doubravou</w:t>
            </w:r>
          </w:p>
        </w:tc>
      </w:tr>
      <w:tr w:rsidR="002A3B68" w:rsidRPr="00475417" w14:paraId="74CC35CB" w14:textId="77777777" w:rsidTr="00BE2A59">
        <w:trPr>
          <w:trHeight w:val="640"/>
          <w:jc w:val="center"/>
        </w:trPr>
        <w:tc>
          <w:tcPr>
            <w:tcW w:w="756" w:type="dxa"/>
          </w:tcPr>
          <w:p w14:paraId="55343A75" w14:textId="45787A2F" w:rsidR="002A3B68" w:rsidRPr="00475417" w:rsidRDefault="009971A9" w:rsidP="00BE2A59">
            <w:pPr>
              <w:pStyle w:val="Heading2PRK"/>
              <w:numPr>
                <w:ilvl w:val="0"/>
                <w:numId w:val="0"/>
              </w:numPr>
            </w:pPr>
            <w:r w:rsidRPr="00475417">
              <w:t>Dne</w:t>
            </w:r>
          </w:p>
        </w:tc>
        <w:tc>
          <w:tcPr>
            <w:tcW w:w="4201" w:type="dxa"/>
          </w:tcPr>
          <w:p w14:paraId="4FB388DF" w14:textId="77234A12" w:rsidR="002A3B68" w:rsidRPr="00475417" w:rsidRDefault="006E55D4" w:rsidP="00BE2A59">
            <w:pPr>
              <w:pStyle w:val="Heading2PRK"/>
              <w:numPr>
                <w:ilvl w:val="0"/>
                <w:numId w:val="0"/>
              </w:numPr>
            </w:pPr>
            <w:r>
              <w:t>viz elektronický podpis</w:t>
            </w:r>
          </w:p>
        </w:tc>
        <w:tc>
          <w:tcPr>
            <w:tcW w:w="422" w:type="dxa"/>
          </w:tcPr>
          <w:p w14:paraId="3596C235" w14:textId="77777777" w:rsidR="002A3B68" w:rsidRPr="00475417" w:rsidRDefault="002A3B68" w:rsidP="00BE2A59">
            <w:pPr>
              <w:pStyle w:val="Heading2PRK"/>
              <w:numPr>
                <w:ilvl w:val="0"/>
                <w:numId w:val="0"/>
              </w:numPr>
            </w:pPr>
          </w:p>
        </w:tc>
        <w:tc>
          <w:tcPr>
            <w:tcW w:w="853" w:type="dxa"/>
          </w:tcPr>
          <w:p w14:paraId="73A53402" w14:textId="39F4308C" w:rsidR="002A3B68" w:rsidRPr="00475417" w:rsidRDefault="009971A9" w:rsidP="00BE2A59">
            <w:pPr>
              <w:pStyle w:val="Heading2PRK"/>
              <w:numPr>
                <w:ilvl w:val="0"/>
                <w:numId w:val="0"/>
              </w:numPr>
            </w:pPr>
            <w:r w:rsidRPr="00475417">
              <w:t>Dne</w:t>
            </w:r>
          </w:p>
        </w:tc>
        <w:tc>
          <w:tcPr>
            <w:tcW w:w="4153" w:type="dxa"/>
          </w:tcPr>
          <w:p w14:paraId="23C918E1" w14:textId="19C7EBAC" w:rsidR="002A3B68" w:rsidRPr="00475417" w:rsidRDefault="006E55D4" w:rsidP="00BE2A59">
            <w:pPr>
              <w:pStyle w:val="Heading2PRK"/>
              <w:numPr>
                <w:ilvl w:val="0"/>
                <w:numId w:val="0"/>
              </w:numPr>
            </w:pPr>
            <w:r>
              <w:t>viz elektronický podpis</w:t>
            </w:r>
          </w:p>
        </w:tc>
      </w:tr>
      <w:tr w:rsidR="002A3B68" w:rsidRPr="00475417" w14:paraId="0FE5A70C" w14:textId="77777777" w:rsidTr="00BE2A59">
        <w:trPr>
          <w:trHeight w:val="1283"/>
          <w:jc w:val="center"/>
        </w:trPr>
        <w:tc>
          <w:tcPr>
            <w:tcW w:w="4957" w:type="dxa"/>
            <w:gridSpan w:val="2"/>
          </w:tcPr>
          <w:p w14:paraId="5938A694" w14:textId="70F9EC06" w:rsidR="002A3B68" w:rsidRPr="00475417" w:rsidRDefault="00F37669" w:rsidP="00BE2A59">
            <w:pPr>
              <w:pStyle w:val="Heading2PRK"/>
              <w:numPr>
                <w:ilvl w:val="0"/>
                <w:numId w:val="0"/>
              </w:numPr>
              <w:rPr>
                <w:b/>
                <w:bCs/>
              </w:rPr>
            </w:pPr>
            <w:r w:rsidRPr="00475417">
              <w:rPr>
                <w:b/>
                <w:bCs/>
              </w:rPr>
              <w:t xml:space="preserve">Česká centra </w:t>
            </w:r>
          </w:p>
        </w:tc>
        <w:tc>
          <w:tcPr>
            <w:tcW w:w="422" w:type="dxa"/>
          </w:tcPr>
          <w:p w14:paraId="6D5B6317" w14:textId="77777777" w:rsidR="002A3B68" w:rsidRPr="00475417" w:rsidRDefault="002A3B68" w:rsidP="00BE2A59">
            <w:pPr>
              <w:pStyle w:val="Heading2PRK"/>
              <w:numPr>
                <w:ilvl w:val="0"/>
                <w:numId w:val="0"/>
              </w:numPr>
            </w:pPr>
          </w:p>
        </w:tc>
        <w:tc>
          <w:tcPr>
            <w:tcW w:w="5006" w:type="dxa"/>
            <w:gridSpan w:val="2"/>
          </w:tcPr>
          <w:p w14:paraId="65F555B3" w14:textId="6000E2A8" w:rsidR="002A3B68" w:rsidRPr="00475417" w:rsidRDefault="009971A9" w:rsidP="00BE2A59">
            <w:pPr>
              <w:pStyle w:val="Heading2PRK"/>
              <w:numPr>
                <w:ilvl w:val="0"/>
                <w:numId w:val="0"/>
              </w:numPr>
              <w:rPr>
                <w:b/>
                <w:bCs/>
              </w:rPr>
            </w:pPr>
            <w:proofErr w:type="spellStart"/>
            <w:r w:rsidRPr="00475417">
              <w:rPr>
                <w:b/>
                <w:bCs/>
              </w:rPr>
              <w:t>Stora</w:t>
            </w:r>
            <w:proofErr w:type="spellEnd"/>
            <w:r w:rsidRPr="00475417">
              <w:rPr>
                <w:b/>
                <w:bCs/>
              </w:rPr>
              <w:t xml:space="preserve"> </w:t>
            </w:r>
            <w:proofErr w:type="spellStart"/>
            <w:r w:rsidRPr="00475417">
              <w:rPr>
                <w:b/>
                <w:bCs/>
              </w:rPr>
              <w:t>Enso</w:t>
            </w:r>
            <w:proofErr w:type="spellEnd"/>
            <w:r w:rsidRPr="00475417">
              <w:rPr>
                <w:b/>
                <w:bCs/>
              </w:rPr>
              <w:t xml:space="preserve"> </w:t>
            </w:r>
            <w:proofErr w:type="spellStart"/>
            <w:r w:rsidRPr="00475417">
              <w:rPr>
                <w:b/>
                <w:bCs/>
              </w:rPr>
              <w:t>Wood</w:t>
            </w:r>
            <w:proofErr w:type="spellEnd"/>
            <w:r w:rsidRPr="00475417">
              <w:rPr>
                <w:b/>
                <w:bCs/>
              </w:rPr>
              <w:t xml:space="preserve"> </w:t>
            </w:r>
            <w:proofErr w:type="spellStart"/>
            <w:r w:rsidRPr="00475417">
              <w:rPr>
                <w:b/>
                <w:bCs/>
              </w:rPr>
              <w:t>Products</w:t>
            </w:r>
            <w:proofErr w:type="spellEnd"/>
            <w:r w:rsidRPr="00475417">
              <w:rPr>
                <w:b/>
                <w:bCs/>
              </w:rPr>
              <w:t xml:space="preserve"> Ždírec s.r.o</w:t>
            </w:r>
            <w:r w:rsidR="002A3B68" w:rsidRPr="00475417">
              <w:rPr>
                <w:b/>
                <w:bCs/>
              </w:rPr>
              <w:t>.</w:t>
            </w:r>
          </w:p>
        </w:tc>
      </w:tr>
      <w:tr w:rsidR="002A3B68" w:rsidRPr="00475417" w14:paraId="139E2C05" w14:textId="77777777" w:rsidTr="00BE2A59">
        <w:trPr>
          <w:trHeight w:val="1931"/>
          <w:jc w:val="center"/>
        </w:trPr>
        <w:tc>
          <w:tcPr>
            <w:tcW w:w="4957" w:type="dxa"/>
            <w:gridSpan w:val="2"/>
          </w:tcPr>
          <w:p w14:paraId="784623DD" w14:textId="77777777" w:rsidR="002A3B68" w:rsidRPr="00475417" w:rsidRDefault="002A3B68" w:rsidP="00BE2A59">
            <w:pPr>
              <w:pStyle w:val="Heading2PRK"/>
              <w:numPr>
                <w:ilvl w:val="0"/>
                <w:numId w:val="0"/>
              </w:numPr>
            </w:pPr>
            <w:r w:rsidRPr="00475417">
              <w:t>_____________________________</w:t>
            </w:r>
          </w:p>
          <w:p w14:paraId="35DAD171" w14:textId="574B9A8F" w:rsidR="002A3B68" w:rsidRPr="00475417" w:rsidRDefault="009971A9" w:rsidP="00BE2A59">
            <w:pPr>
              <w:pStyle w:val="Heading2PRK"/>
              <w:numPr>
                <w:ilvl w:val="0"/>
                <w:numId w:val="0"/>
              </w:numPr>
            </w:pPr>
            <w:r w:rsidRPr="00475417">
              <w:t>Jméno</w:t>
            </w:r>
            <w:r w:rsidR="002A3B68" w:rsidRPr="00475417">
              <w:t xml:space="preserve">: </w:t>
            </w:r>
            <w:proofErr w:type="spellStart"/>
            <w:r w:rsidR="00FD6F74">
              <w:t>xxxxxxxxxx</w:t>
            </w:r>
            <w:proofErr w:type="spellEnd"/>
          </w:p>
          <w:p w14:paraId="26A1B524" w14:textId="5AB1B3CB" w:rsidR="002A3B68" w:rsidRPr="00475417" w:rsidRDefault="009971A9" w:rsidP="00BE2A59">
            <w:pPr>
              <w:pStyle w:val="Heading2PRK"/>
              <w:numPr>
                <w:ilvl w:val="0"/>
                <w:numId w:val="0"/>
              </w:numPr>
            </w:pPr>
            <w:r w:rsidRPr="00475417">
              <w:t>Funkce</w:t>
            </w:r>
            <w:r w:rsidR="002A3B68" w:rsidRPr="00475417">
              <w:t xml:space="preserve">: </w:t>
            </w:r>
            <w:r w:rsidRPr="00475417">
              <w:t>generální komisař</w:t>
            </w:r>
          </w:p>
        </w:tc>
        <w:tc>
          <w:tcPr>
            <w:tcW w:w="422" w:type="dxa"/>
          </w:tcPr>
          <w:p w14:paraId="24AEFECC" w14:textId="77777777" w:rsidR="002A3B68" w:rsidRPr="00475417" w:rsidRDefault="002A3B68" w:rsidP="00BE2A59">
            <w:pPr>
              <w:pStyle w:val="Heading2PRK"/>
              <w:numPr>
                <w:ilvl w:val="0"/>
                <w:numId w:val="0"/>
              </w:numPr>
            </w:pPr>
          </w:p>
        </w:tc>
        <w:tc>
          <w:tcPr>
            <w:tcW w:w="5006" w:type="dxa"/>
            <w:gridSpan w:val="2"/>
          </w:tcPr>
          <w:p w14:paraId="68718DFB" w14:textId="77777777" w:rsidR="002A3B68" w:rsidRPr="00475417" w:rsidRDefault="002A3B68" w:rsidP="00BE2A59">
            <w:pPr>
              <w:pStyle w:val="Heading2PRK"/>
              <w:numPr>
                <w:ilvl w:val="0"/>
                <w:numId w:val="0"/>
              </w:numPr>
            </w:pPr>
            <w:r w:rsidRPr="00475417">
              <w:t>_____________________________</w:t>
            </w:r>
          </w:p>
          <w:p w14:paraId="010D49D0" w14:textId="4E24CC41" w:rsidR="009971A9" w:rsidRPr="00475417" w:rsidRDefault="009971A9" w:rsidP="009971A9">
            <w:pPr>
              <w:pStyle w:val="Heading2PRK"/>
              <w:numPr>
                <w:ilvl w:val="0"/>
                <w:numId w:val="0"/>
              </w:numPr>
            </w:pPr>
            <w:r w:rsidRPr="00475417">
              <w:t xml:space="preserve">Jméno: </w:t>
            </w:r>
            <w:proofErr w:type="spellStart"/>
            <w:r w:rsidR="00FD6F74">
              <w:t>xxxxxxxxxxx</w:t>
            </w:r>
            <w:proofErr w:type="spellEnd"/>
          </w:p>
          <w:p w14:paraId="06C02027" w14:textId="31F8E016" w:rsidR="002A3B68" w:rsidRPr="00475417" w:rsidRDefault="009971A9" w:rsidP="009971A9">
            <w:pPr>
              <w:pStyle w:val="Heading2PRK"/>
              <w:numPr>
                <w:ilvl w:val="0"/>
                <w:numId w:val="0"/>
              </w:numPr>
            </w:pPr>
            <w:r w:rsidRPr="00475417">
              <w:t>Funkce: jednatel</w:t>
            </w:r>
          </w:p>
        </w:tc>
      </w:tr>
    </w:tbl>
    <w:p w14:paraId="5A442166" w14:textId="77777777" w:rsidR="002A3B68" w:rsidRPr="009638DB" w:rsidRDefault="002A3B68" w:rsidP="009638DB">
      <w:pPr>
        <w:pStyle w:val="Heading2PRK"/>
        <w:numPr>
          <w:ilvl w:val="0"/>
          <w:numId w:val="0"/>
        </w:numPr>
        <w:ind w:left="1417" w:hanging="709"/>
        <w:rPr>
          <w:b/>
          <w:bCs/>
          <w:sz w:val="2"/>
          <w:szCs w:val="2"/>
        </w:rPr>
      </w:pPr>
    </w:p>
    <w:sectPr w:rsidR="002A3B68" w:rsidRPr="009638DB" w:rsidSect="005C05B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552" w:right="1418" w:bottom="226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7E793" w14:textId="77777777" w:rsidR="00E20021" w:rsidRPr="00475417" w:rsidRDefault="00E20021" w:rsidP="00B033E8">
      <w:pPr>
        <w:spacing w:after="0" w:line="240" w:lineRule="auto"/>
      </w:pPr>
      <w:r w:rsidRPr="00475417">
        <w:separator/>
      </w:r>
    </w:p>
  </w:endnote>
  <w:endnote w:type="continuationSeparator" w:id="0">
    <w:p w14:paraId="20508A1A" w14:textId="77777777" w:rsidR="00E20021" w:rsidRPr="00475417" w:rsidRDefault="00E20021" w:rsidP="00B033E8">
      <w:pPr>
        <w:spacing w:after="0" w:line="240" w:lineRule="auto"/>
      </w:pPr>
      <w:r w:rsidRPr="004754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284"/>
      <w:gridCol w:w="3969"/>
    </w:tblGrid>
    <w:tr w:rsidR="00604949" w:rsidRPr="00475417" w14:paraId="70EF49D2" w14:textId="77777777" w:rsidTr="00096BBE">
      <w:tc>
        <w:tcPr>
          <w:tcW w:w="3969" w:type="dxa"/>
          <w:vAlign w:val="bottom"/>
        </w:tcPr>
        <w:p w14:paraId="0525141A" w14:textId="10C32D09" w:rsidR="00604949" w:rsidRPr="00475417" w:rsidRDefault="00604949" w:rsidP="00604949">
          <w:pPr>
            <w:pStyle w:val="Zpat"/>
            <w:spacing w:line="300" w:lineRule="exact"/>
            <w:rPr>
              <w:b/>
              <w:bCs/>
              <w:sz w:val="21"/>
              <w:szCs w:val="21"/>
            </w:rPr>
          </w:pPr>
          <w:r w:rsidRPr="00475417">
            <w:rPr>
              <w:b/>
              <w:bCs/>
              <w:color w:val="173861" w:themeColor="text2"/>
              <w:sz w:val="21"/>
              <w:szCs w:val="21"/>
            </w:rPr>
            <w:fldChar w:fldCharType="begin"/>
          </w:r>
          <w:r w:rsidRPr="00475417">
            <w:rPr>
              <w:b/>
              <w:bCs/>
              <w:color w:val="173861" w:themeColor="text2"/>
              <w:sz w:val="21"/>
              <w:szCs w:val="21"/>
            </w:rPr>
            <w:instrText>PAGE   \* MERGEFORMAT</w:instrText>
          </w:r>
          <w:r w:rsidRPr="00475417">
            <w:rPr>
              <w:b/>
              <w:bCs/>
              <w:color w:val="173861" w:themeColor="text2"/>
              <w:sz w:val="21"/>
              <w:szCs w:val="21"/>
            </w:rPr>
            <w:fldChar w:fldCharType="separate"/>
          </w:r>
          <w:r w:rsidR="004C6ED7">
            <w:rPr>
              <w:b/>
              <w:bCs/>
              <w:noProof/>
              <w:color w:val="173861" w:themeColor="text2"/>
              <w:sz w:val="21"/>
              <w:szCs w:val="21"/>
            </w:rPr>
            <w:t>3</w:t>
          </w:r>
          <w:r w:rsidRPr="00475417">
            <w:rPr>
              <w:b/>
              <w:bCs/>
              <w:color w:val="173861" w:themeColor="text2"/>
              <w:sz w:val="21"/>
              <w:szCs w:val="21"/>
            </w:rPr>
            <w:fldChar w:fldCharType="end"/>
          </w:r>
        </w:p>
      </w:tc>
      <w:tc>
        <w:tcPr>
          <w:tcW w:w="284" w:type="dxa"/>
          <w:vAlign w:val="bottom"/>
        </w:tcPr>
        <w:p w14:paraId="7A80D7AC" w14:textId="77777777" w:rsidR="00604949" w:rsidRPr="00475417" w:rsidRDefault="00604949" w:rsidP="00604949">
          <w:pPr>
            <w:pStyle w:val="Zpat"/>
            <w:spacing w:line="300" w:lineRule="exact"/>
            <w:rPr>
              <w:b/>
              <w:bCs/>
              <w:sz w:val="21"/>
              <w:szCs w:val="21"/>
            </w:rPr>
          </w:pPr>
        </w:p>
      </w:tc>
      <w:tc>
        <w:tcPr>
          <w:tcW w:w="3969" w:type="dxa"/>
          <w:vAlign w:val="bottom"/>
        </w:tcPr>
        <w:p w14:paraId="3BDEE476" w14:textId="77777777" w:rsidR="00604949" w:rsidRPr="00475417" w:rsidRDefault="00604949" w:rsidP="00604949">
          <w:pPr>
            <w:pStyle w:val="Zpat"/>
            <w:spacing w:line="300" w:lineRule="exact"/>
            <w:rPr>
              <w:b/>
              <w:bCs/>
              <w:sz w:val="21"/>
              <w:szCs w:val="21"/>
            </w:rPr>
          </w:pPr>
        </w:p>
      </w:tc>
    </w:tr>
  </w:tbl>
  <w:p w14:paraId="26EFFE05" w14:textId="77777777" w:rsidR="00604949" w:rsidRPr="00475417" w:rsidRDefault="00282E6F">
    <w:pPr>
      <w:pStyle w:val="Zpat"/>
    </w:pPr>
    <w:r w:rsidRPr="00475417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7EAF0F2" wp14:editId="6B2A4D8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666000" cy="666000"/>
          <wp:effectExtent l="0" t="0" r="1270" b="1270"/>
          <wp:wrapNone/>
          <wp:docPr id="8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29884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284"/>
      <w:gridCol w:w="3969"/>
    </w:tblGrid>
    <w:tr w:rsidR="00C34C0E" w:rsidRPr="00475417" w14:paraId="3BBF6266" w14:textId="77777777" w:rsidTr="00757878">
      <w:tc>
        <w:tcPr>
          <w:tcW w:w="3969" w:type="dxa"/>
          <w:vAlign w:val="bottom"/>
        </w:tcPr>
        <w:p w14:paraId="6665D825" w14:textId="77777777" w:rsidR="009B2BC8" w:rsidRPr="00475417" w:rsidRDefault="009B2BC8" w:rsidP="009B2BC8">
          <w:pPr>
            <w:pStyle w:val="Zpat"/>
            <w:spacing w:line="300" w:lineRule="exact"/>
            <w:rPr>
              <w:b/>
              <w:bCs/>
              <w:color w:val="173861" w:themeColor="text2"/>
              <w:sz w:val="21"/>
              <w:szCs w:val="21"/>
            </w:rPr>
          </w:pPr>
          <w:proofErr w:type="spellStart"/>
          <w:r w:rsidRPr="00475417">
            <w:rPr>
              <w:b/>
              <w:bCs/>
              <w:color w:val="173861" w:themeColor="text2"/>
              <w:sz w:val="21"/>
              <w:szCs w:val="21"/>
            </w:rPr>
            <w:t>Commissioner</w:t>
          </w:r>
          <w:proofErr w:type="spellEnd"/>
          <w:r w:rsidRPr="00475417">
            <w:rPr>
              <w:b/>
              <w:bCs/>
              <w:color w:val="173861" w:themeColor="text2"/>
              <w:sz w:val="21"/>
              <w:szCs w:val="21"/>
            </w:rPr>
            <w:t xml:space="preserve"> </w:t>
          </w:r>
          <w:proofErr w:type="spellStart"/>
          <w:r w:rsidRPr="00475417">
            <w:rPr>
              <w:b/>
              <w:bCs/>
              <w:color w:val="173861" w:themeColor="text2"/>
              <w:sz w:val="21"/>
              <w:szCs w:val="21"/>
            </w:rPr>
            <w:t>General’s</w:t>
          </w:r>
          <w:proofErr w:type="spellEnd"/>
          <w:r w:rsidRPr="00475417">
            <w:rPr>
              <w:b/>
              <w:bCs/>
              <w:color w:val="173861" w:themeColor="text2"/>
              <w:sz w:val="21"/>
              <w:szCs w:val="21"/>
            </w:rPr>
            <w:t xml:space="preserve"> Office</w:t>
          </w:r>
        </w:p>
        <w:p w14:paraId="6C21FEFF" w14:textId="77777777" w:rsidR="00C34C0E" w:rsidRPr="00475417" w:rsidRDefault="009B2BC8" w:rsidP="009B2BC8">
          <w:pPr>
            <w:pStyle w:val="Zpat"/>
            <w:spacing w:line="300" w:lineRule="exact"/>
            <w:rPr>
              <w:b/>
              <w:bCs/>
              <w:sz w:val="21"/>
              <w:szCs w:val="21"/>
            </w:rPr>
          </w:pPr>
          <w:proofErr w:type="spellStart"/>
          <w:r w:rsidRPr="00475417">
            <w:rPr>
              <w:b/>
              <w:bCs/>
              <w:color w:val="173861" w:themeColor="text2"/>
              <w:sz w:val="21"/>
              <w:szCs w:val="21"/>
            </w:rPr>
            <w:t>Czechia</w:t>
          </w:r>
          <w:proofErr w:type="spellEnd"/>
          <w:r w:rsidRPr="00475417">
            <w:rPr>
              <w:b/>
              <w:bCs/>
              <w:color w:val="173861" w:themeColor="text2"/>
              <w:sz w:val="21"/>
              <w:szCs w:val="21"/>
            </w:rPr>
            <w:t xml:space="preserve"> </w:t>
          </w:r>
          <w:proofErr w:type="spellStart"/>
          <w:r w:rsidRPr="00475417">
            <w:rPr>
              <w:b/>
              <w:bCs/>
              <w:color w:val="173861" w:themeColor="text2"/>
              <w:sz w:val="21"/>
              <w:szCs w:val="21"/>
            </w:rPr>
            <w:t>at</w:t>
          </w:r>
          <w:proofErr w:type="spellEnd"/>
          <w:r w:rsidRPr="00475417">
            <w:rPr>
              <w:b/>
              <w:bCs/>
              <w:color w:val="173861" w:themeColor="text2"/>
              <w:sz w:val="21"/>
              <w:szCs w:val="21"/>
            </w:rPr>
            <w:t xml:space="preserve"> Expo 2025 </w:t>
          </w:r>
          <w:proofErr w:type="spellStart"/>
          <w:r w:rsidRPr="00475417">
            <w:rPr>
              <w:b/>
              <w:bCs/>
              <w:color w:val="173861" w:themeColor="text2"/>
              <w:sz w:val="21"/>
              <w:szCs w:val="21"/>
            </w:rPr>
            <w:t>Osaka</w:t>
          </w:r>
          <w:proofErr w:type="spellEnd"/>
        </w:p>
      </w:tc>
      <w:tc>
        <w:tcPr>
          <w:tcW w:w="284" w:type="dxa"/>
          <w:vAlign w:val="bottom"/>
        </w:tcPr>
        <w:p w14:paraId="6F406AA1" w14:textId="77777777" w:rsidR="00C34C0E" w:rsidRPr="00475417" w:rsidRDefault="00C34C0E" w:rsidP="00757878">
          <w:pPr>
            <w:pStyle w:val="Zpat"/>
            <w:spacing w:line="300" w:lineRule="exact"/>
            <w:rPr>
              <w:b/>
              <w:bCs/>
              <w:sz w:val="21"/>
              <w:szCs w:val="21"/>
            </w:rPr>
          </w:pPr>
        </w:p>
      </w:tc>
      <w:tc>
        <w:tcPr>
          <w:tcW w:w="3969" w:type="dxa"/>
          <w:vAlign w:val="bottom"/>
        </w:tcPr>
        <w:p w14:paraId="15479535" w14:textId="3A3146DC" w:rsidR="00757878" w:rsidRPr="00475417" w:rsidRDefault="00757878" w:rsidP="00757878">
          <w:pPr>
            <w:pStyle w:val="Zpat"/>
            <w:spacing w:line="300" w:lineRule="exact"/>
            <w:rPr>
              <w:color w:val="FF0000" w:themeColor="background2"/>
              <w:sz w:val="21"/>
              <w:szCs w:val="21"/>
            </w:rPr>
          </w:pPr>
          <w:r w:rsidRPr="00475417">
            <w:rPr>
              <w:color w:val="FF0000" w:themeColor="background2"/>
              <w:sz w:val="21"/>
              <w:szCs w:val="21"/>
            </w:rPr>
            <w:t>info@expo2025czec</w:t>
          </w:r>
          <w:r w:rsidR="00DC3B89" w:rsidRPr="00475417">
            <w:rPr>
              <w:color w:val="FF0000" w:themeColor="background2"/>
              <w:sz w:val="21"/>
              <w:szCs w:val="21"/>
            </w:rPr>
            <w:t>hi</w:t>
          </w:r>
          <w:r w:rsidRPr="00475417">
            <w:rPr>
              <w:color w:val="FF0000" w:themeColor="background2"/>
              <w:sz w:val="21"/>
              <w:szCs w:val="21"/>
            </w:rPr>
            <w:t>a.com</w:t>
          </w:r>
        </w:p>
        <w:p w14:paraId="7633C953" w14:textId="77777777" w:rsidR="00C34C0E" w:rsidRPr="00475417" w:rsidRDefault="00757878" w:rsidP="00757878">
          <w:pPr>
            <w:pStyle w:val="Zpat"/>
            <w:spacing w:line="300" w:lineRule="exact"/>
            <w:rPr>
              <w:b/>
              <w:bCs/>
              <w:sz w:val="21"/>
              <w:szCs w:val="21"/>
            </w:rPr>
          </w:pPr>
          <w:r w:rsidRPr="00475417">
            <w:rPr>
              <w:color w:val="FF0000" w:themeColor="background2"/>
              <w:sz w:val="21"/>
              <w:szCs w:val="21"/>
            </w:rPr>
            <w:t>www.expo2025czechia.com</w:t>
          </w:r>
        </w:p>
      </w:tc>
    </w:tr>
  </w:tbl>
  <w:p w14:paraId="382EB673" w14:textId="77777777" w:rsidR="00506A5A" w:rsidRPr="00475417" w:rsidRDefault="00686EA1" w:rsidP="00757878">
    <w:pPr>
      <w:pStyle w:val="Zpat"/>
    </w:pPr>
    <w:r w:rsidRPr="00475417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2F077A3" wp14:editId="2E2A540D">
          <wp:simplePos x="542925" y="9667875"/>
          <wp:positionH relativeFrom="page">
            <wp:align>right</wp:align>
          </wp:positionH>
          <wp:positionV relativeFrom="page">
            <wp:align>bottom</wp:align>
          </wp:positionV>
          <wp:extent cx="1162800" cy="1162800"/>
          <wp:effectExtent l="0" t="0" r="0" b="0"/>
          <wp:wrapNone/>
          <wp:docPr id="10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2353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11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E4B47" w14:textId="77777777" w:rsidR="00E20021" w:rsidRPr="00475417" w:rsidRDefault="00E20021" w:rsidP="00B033E8">
      <w:pPr>
        <w:spacing w:after="0" w:line="240" w:lineRule="auto"/>
      </w:pPr>
      <w:r w:rsidRPr="00475417">
        <w:separator/>
      </w:r>
    </w:p>
  </w:footnote>
  <w:footnote w:type="continuationSeparator" w:id="0">
    <w:p w14:paraId="2220484E" w14:textId="77777777" w:rsidR="00E20021" w:rsidRPr="00475417" w:rsidRDefault="00E20021" w:rsidP="00B033E8">
      <w:pPr>
        <w:spacing w:after="0" w:line="240" w:lineRule="auto"/>
      </w:pPr>
      <w:r w:rsidRPr="004754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C20F" w14:textId="203407CA" w:rsidR="00634F2A" w:rsidRPr="00475417" w:rsidRDefault="00634F2A" w:rsidP="00634F2A">
    <w:pPr>
      <w:pStyle w:val="Zhlav"/>
    </w:pPr>
    <w:r w:rsidRPr="00475417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43C5E2B6" wp14:editId="19972ECB">
          <wp:simplePos x="0" y="0"/>
          <wp:positionH relativeFrom="page">
            <wp:posOffset>4932680</wp:posOffset>
          </wp:positionH>
          <wp:positionV relativeFrom="page">
            <wp:posOffset>360045</wp:posOffset>
          </wp:positionV>
          <wp:extent cx="2228400" cy="662400"/>
          <wp:effectExtent l="0" t="0" r="635" b="4445"/>
          <wp:wrapNone/>
          <wp:docPr id="7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90071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0D5" w:rsidRPr="00475417">
      <w:t>Číslo smlouvy</w:t>
    </w:r>
    <w:r w:rsidR="00EA4530" w:rsidRPr="00475417">
      <w:t xml:space="preserve">: </w:t>
    </w:r>
    <w:r w:rsidR="004C6ED7">
      <w:t>2025/9999/0651</w:t>
    </w:r>
    <w:r w:rsidR="00EA4530" w:rsidRPr="00475417">
      <w:t xml:space="preserve"> </w:t>
    </w:r>
  </w:p>
  <w:p w14:paraId="3D906E33" w14:textId="77777777" w:rsidR="00634F2A" w:rsidRPr="00475417" w:rsidRDefault="00634F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800A" w14:textId="5056A2BA" w:rsidR="00634F2A" w:rsidRPr="00475417" w:rsidRDefault="00634F2A">
    <w:pPr>
      <w:pStyle w:val="Zhlav"/>
      <w:rPr>
        <w:b/>
        <w:bCs/>
      </w:rPr>
    </w:pPr>
    <w:r w:rsidRPr="00475417">
      <w:rPr>
        <w:b/>
        <w:bCs/>
        <w:noProof/>
        <w:color w:val="FF0000"/>
        <w:lang w:eastAsia="cs-CZ"/>
      </w:rPr>
      <w:drawing>
        <wp:anchor distT="0" distB="0" distL="114300" distR="114300" simplePos="0" relativeHeight="251660288" behindDoc="0" locked="0" layoutInCell="1" allowOverlap="1" wp14:anchorId="50ED172C" wp14:editId="329ED8D0">
          <wp:simplePos x="0" y="0"/>
          <wp:positionH relativeFrom="page">
            <wp:posOffset>4932680</wp:posOffset>
          </wp:positionH>
          <wp:positionV relativeFrom="page">
            <wp:posOffset>360045</wp:posOffset>
          </wp:positionV>
          <wp:extent cx="2228400" cy="662400"/>
          <wp:effectExtent l="0" t="0" r="635" b="4445"/>
          <wp:wrapNone/>
          <wp:docPr id="9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738123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6ED7">
      <w:rPr>
        <w:b/>
        <w:bCs/>
      </w:rPr>
      <w:t>Číslo smlouvy: 2025/9999/0651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A8306D"/>
    <w:multiLevelType w:val="multilevel"/>
    <w:tmpl w:val="FD2C4A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F41E31"/>
    <w:multiLevelType w:val="hybridMultilevel"/>
    <w:tmpl w:val="FCE22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A31AD"/>
    <w:multiLevelType w:val="multilevel"/>
    <w:tmpl w:val="FF529C10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567"/>
      </w:pPr>
      <w:rPr>
        <w:rFonts w:hint="default"/>
      </w:rPr>
    </w:lvl>
    <w:lvl w:ilvl="7">
      <w:start w:val="1"/>
      <w:numFmt w:val="upperLetter"/>
      <w:lvlText w:val="(%8)"/>
      <w:lvlJc w:val="left"/>
      <w:pPr>
        <w:tabs>
          <w:tab w:val="num" w:pos="4820"/>
        </w:tabs>
        <w:ind w:left="4820" w:hanging="567"/>
      </w:pPr>
      <w:rPr>
        <w:rFonts w:hint="default"/>
      </w:rPr>
    </w:lvl>
    <w:lvl w:ilvl="8">
      <w:start w:val="1"/>
      <w:numFmt w:val="upperLetter"/>
      <w:lvlText w:val="(%9)"/>
      <w:lvlJc w:val="left"/>
      <w:pPr>
        <w:tabs>
          <w:tab w:val="num" w:pos="5387"/>
        </w:tabs>
        <w:ind w:left="5387" w:hanging="567"/>
      </w:pPr>
      <w:rPr>
        <w:rFonts w:hint="default"/>
      </w:rPr>
    </w:lvl>
  </w:abstractNum>
  <w:abstractNum w:abstractNumId="4" w15:restartNumberingAfterBreak="0">
    <w:nsid w:val="0CC33C17"/>
    <w:multiLevelType w:val="multilevel"/>
    <w:tmpl w:val="921CC896"/>
    <w:lvl w:ilvl="0">
      <w:start w:val="1"/>
      <w:numFmt w:val="lowerLetter"/>
      <w:lvlText w:val="%1)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0FA971E8"/>
    <w:multiLevelType w:val="multilevel"/>
    <w:tmpl w:val="F964FE32"/>
    <w:lvl w:ilvl="0">
      <w:start w:val="1"/>
      <w:numFmt w:val="decimal"/>
      <w:pStyle w:val="List1PRK"/>
      <w:lvlText w:val="%1."/>
      <w:lvlJc w:val="left"/>
      <w:pPr>
        <w:ind w:left="709" w:hanging="709"/>
      </w:pPr>
      <w:rPr>
        <w:rFonts w:hint="default"/>
      </w:rPr>
    </w:lvl>
    <w:lvl w:ilvl="1"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</w:abstractNum>
  <w:abstractNum w:abstractNumId="6" w15:restartNumberingAfterBreak="0">
    <w:nsid w:val="11FA4673"/>
    <w:multiLevelType w:val="hybridMultilevel"/>
    <w:tmpl w:val="9FF4D878"/>
    <w:lvl w:ilvl="0" w:tplc="029804AA">
      <w:start w:val="1"/>
      <w:numFmt w:val="decimal"/>
      <w:pStyle w:val="SmluvnstranyPRK"/>
      <w:lvlText w:val="(%1)"/>
      <w:lvlJc w:val="left"/>
      <w:pPr>
        <w:ind w:left="1429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1FB6E26"/>
    <w:multiLevelType w:val="hybridMultilevel"/>
    <w:tmpl w:val="1CB6E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54A01"/>
    <w:multiLevelType w:val="hybridMultilevel"/>
    <w:tmpl w:val="B79093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019FE"/>
    <w:multiLevelType w:val="hybridMultilevel"/>
    <w:tmpl w:val="9EE2F1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12522"/>
    <w:multiLevelType w:val="hybridMultilevel"/>
    <w:tmpl w:val="414ECD16"/>
    <w:lvl w:ilvl="0" w:tplc="0C3CB1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E398B"/>
    <w:multiLevelType w:val="multilevel"/>
    <w:tmpl w:val="4E48A606"/>
    <w:lvl w:ilvl="0">
      <w:start w:val="1"/>
      <w:numFmt w:val="none"/>
      <w:pStyle w:val="DefinitionPRK"/>
      <w:suff w:val="nothing"/>
      <w:lvlText w:val="%1"/>
      <w:lvlJc w:val="left"/>
      <w:pPr>
        <w:ind w:left="709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efinition2PRK"/>
      <w:lvlText w:val="(%2)"/>
      <w:lvlJc w:val="left"/>
      <w:pPr>
        <w:tabs>
          <w:tab w:val="num" w:pos="2125"/>
        </w:tabs>
        <w:ind w:left="1418" w:hanging="709"/>
      </w:pPr>
      <w:rPr>
        <w:rFonts w:hint="default"/>
      </w:rPr>
    </w:lvl>
    <w:lvl w:ilvl="2">
      <w:start w:val="1"/>
      <w:numFmt w:val="lowerRoman"/>
      <w:pStyle w:val="Definition3PRK"/>
      <w:lvlText w:val="(%3)"/>
      <w:lvlJc w:val="left"/>
      <w:pPr>
        <w:tabs>
          <w:tab w:val="num" w:pos="2833"/>
        </w:tabs>
        <w:ind w:left="2126" w:hanging="708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-3206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-3206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right"/>
      <w:pPr>
        <w:ind w:left="-3206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-3206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7176" w:firstLine="2630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060" w:firstLine="0"/>
      </w:pPr>
      <w:rPr>
        <w:rFonts w:hint="default"/>
      </w:rPr>
    </w:lvl>
  </w:abstractNum>
  <w:abstractNum w:abstractNumId="12" w15:restartNumberingAfterBreak="0">
    <w:nsid w:val="295322EF"/>
    <w:multiLevelType w:val="hybridMultilevel"/>
    <w:tmpl w:val="D75A3072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14" w15:restartNumberingAfterBreak="0">
    <w:nsid w:val="2CC258C5"/>
    <w:multiLevelType w:val="hybridMultilevel"/>
    <w:tmpl w:val="4E023340"/>
    <w:lvl w:ilvl="0" w:tplc="075A5B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90BC0F32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01C318F"/>
    <w:multiLevelType w:val="multilevel"/>
    <w:tmpl w:val="52529B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AD17F99"/>
    <w:multiLevelType w:val="multilevel"/>
    <w:tmpl w:val="754A27E2"/>
    <w:lvl w:ilvl="0">
      <w:start w:val="1"/>
      <w:numFmt w:val="lowerLetter"/>
      <w:pStyle w:val="List2PRK"/>
      <w:lvlText w:val="(%1)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</w:abstractNum>
  <w:abstractNum w:abstractNumId="18" w15:restartNumberingAfterBreak="0">
    <w:nsid w:val="511302F7"/>
    <w:multiLevelType w:val="multilevel"/>
    <w:tmpl w:val="DC149072"/>
    <w:lvl w:ilvl="0">
      <w:start w:val="1"/>
      <w:numFmt w:val="upperLetter"/>
      <w:pStyle w:val="PreamblePRK"/>
      <w:lvlText w:val="(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567"/>
      </w:pPr>
      <w:rPr>
        <w:rFonts w:hint="default"/>
      </w:rPr>
    </w:lvl>
    <w:lvl w:ilvl="7">
      <w:start w:val="1"/>
      <w:numFmt w:val="upperLetter"/>
      <w:lvlText w:val="(%8)"/>
      <w:lvlJc w:val="left"/>
      <w:pPr>
        <w:tabs>
          <w:tab w:val="num" w:pos="4820"/>
        </w:tabs>
        <w:ind w:left="4820" w:hanging="567"/>
      </w:pPr>
      <w:rPr>
        <w:rFonts w:hint="default"/>
      </w:rPr>
    </w:lvl>
    <w:lvl w:ilvl="8">
      <w:start w:val="1"/>
      <w:numFmt w:val="upperLetter"/>
      <w:lvlText w:val="(%9)"/>
      <w:lvlJc w:val="left"/>
      <w:pPr>
        <w:tabs>
          <w:tab w:val="num" w:pos="5387"/>
        </w:tabs>
        <w:ind w:left="5387" w:hanging="567"/>
      </w:pPr>
      <w:rPr>
        <w:rFonts w:hint="default"/>
      </w:rPr>
    </w:lvl>
  </w:abstractNum>
  <w:abstractNum w:abstractNumId="19" w15:restartNumberingAfterBreak="0">
    <w:nsid w:val="51F27EC3"/>
    <w:multiLevelType w:val="hybridMultilevel"/>
    <w:tmpl w:val="14EAB64E"/>
    <w:lvl w:ilvl="0" w:tplc="075A5B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3784E"/>
    <w:multiLevelType w:val="multilevel"/>
    <w:tmpl w:val="1DC0A92E"/>
    <w:lvl w:ilvl="0">
      <w:start w:val="1"/>
      <w:numFmt w:val="none"/>
      <w:pStyle w:val="TextPreamblePRK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1" w15:restartNumberingAfterBreak="0">
    <w:nsid w:val="59F027B4"/>
    <w:multiLevelType w:val="hybridMultilevel"/>
    <w:tmpl w:val="1E94746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F507F7"/>
    <w:multiLevelType w:val="hybridMultilevel"/>
    <w:tmpl w:val="8A9E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506F1"/>
    <w:multiLevelType w:val="hybridMultilevel"/>
    <w:tmpl w:val="0512EE0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7C75E4"/>
    <w:multiLevelType w:val="multilevel"/>
    <w:tmpl w:val="FD2C4A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983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57F5D9A"/>
    <w:multiLevelType w:val="hybridMultilevel"/>
    <w:tmpl w:val="74B019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70B47"/>
    <w:multiLevelType w:val="hybridMultilevel"/>
    <w:tmpl w:val="8BF6E93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74633"/>
    <w:multiLevelType w:val="hybridMultilevel"/>
    <w:tmpl w:val="66CE572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B6C75"/>
    <w:multiLevelType w:val="hybridMultilevel"/>
    <w:tmpl w:val="3B00E5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34D48"/>
    <w:multiLevelType w:val="multilevel"/>
    <w:tmpl w:val="FF529C10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567"/>
      </w:pPr>
      <w:rPr>
        <w:rFonts w:hint="default"/>
      </w:rPr>
    </w:lvl>
    <w:lvl w:ilvl="7">
      <w:start w:val="1"/>
      <w:numFmt w:val="upperLetter"/>
      <w:lvlText w:val="(%8)"/>
      <w:lvlJc w:val="left"/>
      <w:pPr>
        <w:tabs>
          <w:tab w:val="num" w:pos="4820"/>
        </w:tabs>
        <w:ind w:left="4820" w:hanging="567"/>
      </w:pPr>
      <w:rPr>
        <w:rFonts w:hint="default"/>
      </w:rPr>
    </w:lvl>
    <w:lvl w:ilvl="8">
      <w:start w:val="1"/>
      <w:numFmt w:val="upperLetter"/>
      <w:lvlText w:val="(%9)"/>
      <w:lvlJc w:val="left"/>
      <w:pPr>
        <w:tabs>
          <w:tab w:val="num" w:pos="5387"/>
        </w:tabs>
        <w:ind w:left="5387" w:hanging="567"/>
      </w:pPr>
      <w:rPr>
        <w:rFonts w:hint="default"/>
      </w:rPr>
    </w:lvl>
  </w:abstractNum>
  <w:abstractNum w:abstractNumId="30" w15:restartNumberingAfterBreak="0">
    <w:nsid w:val="7C911991"/>
    <w:multiLevelType w:val="multilevel"/>
    <w:tmpl w:val="2438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5319064">
    <w:abstractNumId w:val="24"/>
  </w:num>
  <w:num w:numId="2" w16cid:durableId="854996821">
    <w:abstractNumId w:val="19"/>
  </w:num>
  <w:num w:numId="3" w16cid:durableId="1015887110">
    <w:abstractNumId w:val="14"/>
  </w:num>
  <w:num w:numId="4" w16cid:durableId="1882473517">
    <w:abstractNumId w:val="25"/>
  </w:num>
  <w:num w:numId="5" w16cid:durableId="181744113">
    <w:abstractNumId w:val="8"/>
  </w:num>
  <w:num w:numId="6" w16cid:durableId="847328642">
    <w:abstractNumId w:val="1"/>
  </w:num>
  <w:num w:numId="7" w16cid:durableId="1282817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5907283">
    <w:abstractNumId w:val="10"/>
  </w:num>
  <w:num w:numId="9" w16cid:durableId="387388661">
    <w:abstractNumId w:val="0"/>
  </w:num>
  <w:num w:numId="10" w16cid:durableId="423190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4061020">
    <w:abstractNumId w:val="7"/>
  </w:num>
  <w:num w:numId="12" w16cid:durableId="575287235">
    <w:abstractNumId w:val="28"/>
  </w:num>
  <w:num w:numId="13" w16cid:durableId="562449029">
    <w:abstractNumId w:val="9"/>
  </w:num>
  <w:num w:numId="14" w16cid:durableId="15879592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85329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03889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727857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597516815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0026614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14488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16381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1272634">
    <w:abstractNumId w:val="13"/>
  </w:num>
  <w:num w:numId="23" w16cid:durableId="1279414393">
    <w:abstractNumId w:val="11"/>
  </w:num>
  <w:num w:numId="24" w16cid:durableId="1677658804">
    <w:abstractNumId w:val="15"/>
  </w:num>
  <w:num w:numId="25" w16cid:durableId="96560108">
    <w:abstractNumId w:val="18"/>
    <w:lvlOverride w:ilvl="0">
      <w:lvl w:ilvl="0">
        <w:start w:val="1"/>
        <w:numFmt w:val="upperLetter"/>
        <w:pStyle w:val="PreamblePRK"/>
        <w:lvlText w:val="(%1)"/>
        <w:lvlJc w:val="left"/>
        <w:pPr>
          <w:ind w:left="709" w:hanging="709"/>
        </w:pPr>
        <w:rPr>
          <w:rFonts w:hint="default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</w:num>
  <w:num w:numId="26" w16cid:durableId="1750538741">
    <w:abstractNumId w:val="6"/>
  </w:num>
  <w:num w:numId="27" w16cid:durableId="21090408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4"/>
    </w:lvlOverride>
  </w:num>
  <w:num w:numId="28" w16cid:durableId="689717327">
    <w:abstractNumId w:val="20"/>
  </w:num>
  <w:num w:numId="29" w16cid:durableId="2010525559">
    <w:abstractNumId w:val="27"/>
  </w:num>
  <w:num w:numId="30" w16cid:durableId="1853107530">
    <w:abstractNumId w:val="29"/>
  </w:num>
  <w:num w:numId="31" w16cid:durableId="1861894023">
    <w:abstractNumId w:val="3"/>
  </w:num>
  <w:num w:numId="32" w16cid:durableId="429619911">
    <w:abstractNumId w:val="17"/>
  </w:num>
  <w:num w:numId="33" w16cid:durableId="1334576634">
    <w:abstractNumId w:val="30"/>
  </w:num>
  <w:num w:numId="34" w16cid:durableId="1825778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C0B"/>
    <w:rsid w:val="00003619"/>
    <w:rsid w:val="0001084D"/>
    <w:rsid w:val="00014487"/>
    <w:rsid w:val="000159B9"/>
    <w:rsid w:val="00017DDF"/>
    <w:rsid w:val="00017F64"/>
    <w:rsid w:val="00021D52"/>
    <w:rsid w:val="00022067"/>
    <w:rsid w:val="00023D17"/>
    <w:rsid w:val="000412BA"/>
    <w:rsid w:val="0006093F"/>
    <w:rsid w:val="0006201E"/>
    <w:rsid w:val="00062F54"/>
    <w:rsid w:val="0007004C"/>
    <w:rsid w:val="00074F18"/>
    <w:rsid w:val="00077533"/>
    <w:rsid w:val="00077D3F"/>
    <w:rsid w:val="00083C28"/>
    <w:rsid w:val="00091B05"/>
    <w:rsid w:val="000924C5"/>
    <w:rsid w:val="00094BA7"/>
    <w:rsid w:val="000B0A68"/>
    <w:rsid w:val="000B3010"/>
    <w:rsid w:val="000B6B67"/>
    <w:rsid w:val="000C6C45"/>
    <w:rsid w:val="000C71D6"/>
    <w:rsid w:val="000D0858"/>
    <w:rsid w:val="000E0374"/>
    <w:rsid w:val="000F2239"/>
    <w:rsid w:val="000F378D"/>
    <w:rsid w:val="0010119A"/>
    <w:rsid w:val="001063B8"/>
    <w:rsid w:val="00110ED4"/>
    <w:rsid w:val="00113470"/>
    <w:rsid w:val="001174CD"/>
    <w:rsid w:val="001246A0"/>
    <w:rsid w:val="001356D5"/>
    <w:rsid w:val="00136C82"/>
    <w:rsid w:val="0015172F"/>
    <w:rsid w:val="0017281D"/>
    <w:rsid w:val="0017407C"/>
    <w:rsid w:val="001815FA"/>
    <w:rsid w:val="0018490E"/>
    <w:rsid w:val="001917D8"/>
    <w:rsid w:val="001A0D29"/>
    <w:rsid w:val="001A752F"/>
    <w:rsid w:val="001B51B0"/>
    <w:rsid w:val="001C1760"/>
    <w:rsid w:val="001C6365"/>
    <w:rsid w:val="001D4E21"/>
    <w:rsid w:val="001D6668"/>
    <w:rsid w:val="001F6839"/>
    <w:rsid w:val="00203598"/>
    <w:rsid w:val="00206411"/>
    <w:rsid w:val="00212DE1"/>
    <w:rsid w:val="00217DCC"/>
    <w:rsid w:val="00226FF3"/>
    <w:rsid w:val="00227064"/>
    <w:rsid w:val="00232815"/>
    <w:rsid w:val="00240697"/>
    <w:rsid w:val="0024436C"/>
    <w:rsid w:val="00250B47"/>
    <w:rsid w:val="00261B19"/>
    <w:rsid w:val="00264E45"/>
    <w:rsid w:val="00266D5B"/>
    <w:rsid w:val="00281AFA"/>
    <w:rsid w:val="00282E6F"/>
    <w:rsid w:val="00285B11"/>
    <w:rsid w:val="00286035"/>
    <w:rsid w:val="00286244"/>
    <w:rsid w:val="00291072"/>
    <w:rsid w:val="00297A93"/>
    <w:rsid w:val="002A1BFC"/>
    <w:rsid w:val="002A3B68"/>
    <w:rsid w:val="002A6C67"/>
    <w:rsid w:val="002C2BB2"/>
    <w:rsid w:val="002C5BEC"/>
    <w:rsid w:val="002C6C7D"/>
    <w:rsid w:val="002F0AB5"/>
    <w:rsid w:val="002F51F7"/>
    <w:rsid w:val="002F724E"/>
    <w:rsid w:val="002F7E4E"/>
    <w:rsid w:val="00301FD2"/>
    <w:rsid w:val="00310D71"/>
    <w:rsid w:val="00311383"/>
    <w:rsid w:val="00311664"/>
    <w:rsid w:val="00314296"/>
    <w:rsid w:val="00333FCD"/>
    <w:rsid w:val="00347099"/>
    <w:rsid w:val="003545FF"/>
    <w:rsid w:val="00355335"/>
    <w:rsid w:val="003572AD"/>
    <w:rsid w:val="00373661"/>
    <w:rsid w:val="00375E1B"/>
    <w:rsid w:val="00377D56"/>
    <w:rsid w:val="003858BF"/>
    <w:rsid w:val="00391485"/>
    <w:rsid w:val="003C1611"/>
    <w:rsid w:val="003E1B9F"/>
    <w:rsid w:val="003E25D4"/>
    <w:rsid w:val="003E48B0"/>
    <w:rsid w:val="00402A50"/>
    <w:rsid w:val="00411D9C"/>
    <w:rsid w:val="00423C49"/>
    <w:rsid w:val="00424423"/>
    <w:rsid w:val="0043257D"/>
    <w:rsid w:val="00441028"/>
    <w:rsid w:val="004434BD"/>
    <w:rsid w:val="004440D5"/>
    <w:rsid w:val="004504A2"/>
    <w:rsid w:val="0045057E"/>
    <w:rsid w:val="004505B3"/>
    <w:rsid w:val="0045421B"/>
    <w:rsid w:val="0045500A"/>
    <w:rsid w:val="00455063"/>
    <w:rsid w:val="00457E5A"/>
    <w:rsid w:val="0047052B"/>
    <w:rsid w:val="004723EF"/>
    <w:rsid w:val="00475417"/>
    <w:rsid w:val="0048141A"/>
    <w:rsid w:val="0048378A"/>
    <w:rsid w:val="004A3C99"/>
    <w:rsid w:val="004A494E"/>
    <w:rsid w:val="004B5460"/>
    <w:rsid w:val="004C6ED7"/>
    <w:rsid w:val="004E5339"/>
    <w:rsid w:val="004F19FB"/>
    <w:rsid w:val="005018B6"/>
    <w:rsid w:val="00506A5A"/>
    <w:rsid w:val="00525493"/>
    <w:rsid w:val="00526856"/>
    <w:rsid w:val="00536CE3"/>
    <w:rsid w:val="005425C0"/>
    <w:rsid w:val="00546F63"/>
    <w:rsid w:val="0055473B"/>
    <w:rsid w:val="00556FED"/>
    <w:rsid w:val="00561503"/>
    <w:rsid w:val="00572621"/>
    <w:rsid w:val="005747AF"/>
    <w:rsid w:val="00574A24"/>
    <w:rsid w:val="00574AEE"/>
    <w:rsid w:val="00591861"/>
    <w:rsid w:val="005A4EA3"/>
    <w:rsid w:val="005A575B"/>
    <w:rsid w:val="005B3111"/>
    <w:rsid w:val="005B3B94"/>
    <w:rsid w:val="005C05B1"/>
    <w:rsid w:val="005C3850"/>
    <w:rsid w:val="005E0F09"/>
    <w:rsid w:val="005E5B58"/>
    <w:rsid w:val="005E5C83"/>
    <w:rsid w:val="005F3B92"/>
    <w:rsid w:val="005F64B0"/>
    <w:rsid w:val="006028A0"/>
    <w:rsid w:val="006034D3"/>
    <w:rsid w:val="00604949"/>
    <w:rsid w:val="00605932"/>
    <w:rsid w:val="00634F2A"/>
    <w:rsid w:val="00644439"/>
    <w:rsid w:val="006461D1"/>
    <w:rsid w:val="00656E85"/>
    <w:rsid w:val="006658B1"/>
    <w:rsid w:val="006725D2"/>
    <w:rsid w:val="00686EA1"/>
    <w:rsid w:val="006B6420"/>
    <w:rsid w:val="006C0009"/>
    <w:rsid w:val="006C0FF1"/>
    <w:rsid w:val="006C290E"/>
    <w:rsid w:val="006C40FF"/>
    <w:rsid w:val="006D036F"/>
    <w:rsid w:val="006D1883"/>
    <w:rsid w:val="006D4685"/>
    <w:rsid w:val="006D612B"/>
    <w:rsid w:val="006E55D4"/>
    <w:rsid w:val="006E684E"/>
    <w:rsid w:val="00705D34"/>
    <w:rsid w:val="00706669"/>
    <w:rsid w:val="007200D1"/>
    <w:rsid w:val="007273F5"/>
    <w:rsid w:val="00727F70"/>
    <w:rsid w:val="007409F2"/>
    <w:rsid w:val="00741C20"/>
    <w:rsid w:val="00757878"/>
    <w:rsid w:val="007612C2"/>
    <w:rsid w:val="007642BC"/>
    <w:rsid w:val="0076576F"/>
    <w:rsid w:val="00771424"/>
    <w:rsid w:val="00775177"/>
    <w:rsid w:val="00783936"/>
    <w:rsid w:val="007A089E"/>
    <w:rsid w:val="007C0E6E"/>
    <w:rsid w:val="007C35D6"/>
    <w:rsid w:val="007C64BE"/>
    <w:rsid w:val="007E1254"/>
    <w:rsid w:val="007E7F53"/>
    <w:rsid w:val="008060BF"/>
    <w:rsid w:val="008139D7"/>
    <w:rsid w:val="00832743"/>
    <w:rsid w:val="008337A6"/>
    <w:rsid w:val="00843619"/>
    <w:rsid w:val="008541ED"/>
    <w:rsid w:val="008552E6"/>
    <w:rsid w:val="00862807"/>
    <w:rsid w:val="008631C4"/>
    <w:rsid w:val="00863D03"/>
    <w:rsid w:val="0087371E"/>
    <w:rsid w:val="008806EF"/>
    <w:rsid w:val="008832A9"/>
    <w:rsid w:val="00887417"/>
    <w:rsid w:val="00894416"/>
    <w:rsid w:val="0089483A"/>
    <w:rsid w:val="008A079D"/>
    <w:rsid w:val="008B00FB"/>
    <w:rsid w:val="008B3867"/>
    <w:rsid w:val="008B768A"/>
    <w:rsid w:val="008C3ED8"/>
    <w:rsid w:val="008C6C36"/>
    <w:rsid w:val="008D36F6"/>
    <w:rsid w:val="008D3A97"/>
    <w:rsid w:val="008E2707"/>
    <w:rsid w:val="008E3071"/>
    <w:rsid w:val="0090586E"/>
    <w:rsid w:val="00914302"/>
    <w:rsid w:val="00921145"/>
    <w:rsid w:val="00930637"/>
    <w:rsid w:val="00934AB5"/>
    <w:rsid w:val="00934EA9"/>
    <w:rsid w:val="00941596"/>
    <w:rsid w:val="00951ADB"/>
    <w:rsid w:val="0095613C"/>
    <w:rsid w:val="009638DB"/>
    <w:rsid w:val="009721BB"/>
    <w:rsid w:val="00984C5B"/>
    <w:rsid w:val="009971A9"/>
    <w:rsid w:val="009A722F"/>
    <w:rsid w:val="009B2BC8"/>
    <w:rsid w:val="009B3DC1"/>
    <w:rsid w:val="009C2F3E"/>
    <w:rsid w:val="009C67B4"/>
    <w:rsid w:val="009D22F5"/>
    <w:rsid w:val="009D662C"/>
    <w:rsid w:val="009D76E8"/>
    <w:rsid w:val="009D7F9F"/>
    <w:rsid w:val="009F1677"/>
    <w:rsid w:val="009F752B"/>
    <w:rsid w:val="009F76DC"/>
    <w:rsid w:val="00A04307"/>
    <w:rsid w:val="00A23FFC"/>
    <w:rsid w:val="00A47FDF"/>
    <w:rsid w:val="00A5524D"/>
    <w:rsid w:val="00A65423"/>
    <w:rsid w:val="00A729A9"/>
    <w:rsid w:val="00A81B10"/>
    <w:rsid w:val="00AA2AB0"/>
    <w:rsid w:val="00AA5C0B"/>
    <w:rsid w:val="00AB56B7"/>
    <w:rsid w:val="00AC4D46"/>
    <w:rsid w:val="00AD2453"/>
    <w:rsid w:val="00AD6053"/>
    <w:rsid w:val="00AE75B0"/>
    <w:rsid w:val="00AF1489"/>
    <w:rsid w:val="00B033E8"/>
    <w:rsid w:val="00B226CF"/>
    <w:rsid w:val="00B3691A"/>
    <w:rsid w:val="00B46607"/>
    <w:rsid w:val="00B52BD8"/>
    <w:rsid w:val="00B644E7"/>
    <w:rsid w:val="00B676F0"/>
    <w:rsid w:val="00B808B6"/>
    <w:rsid w:val="00B94C10"/>
    <w:rsid w:val="00BA1624"/>
    <w:rsid w:val="00BA52BC"/>
    <w:rsid w:val="00BB43B6"/>
    <w:rsid w:val="00BB77FC"/>
    <w:rsid w:val="00C0662A"/>
    <w:rsid w:val="00C10F76"/>
    <w:rsid w:val="00C12752"/>
    <w:rsid w:val="00C13864"/>
    <w:rsid w:val="00C1766A"/>
    <w:rsid w:val="00C34C0E"/>
    <w:rsid w:val="00C54B76"/>
    <w:rsid w:val="00C62B1E"/>
    <w:rsid w:val="00C80A5D"/>
    <w:rsid w:val="00C81DC6"/>
    <w:rsid w:val="00C869C1"/>
    <w:rsid w:val="00C93521"/>
    <w:rsid w:val="00C93D92"/>
    <w:rsid w:val="00CA2051"/>
    <w:rsid w:val="00CB58EF"/>
    <w:rsid w:val="00CB5DFA"/>
    <w:rsid w:val="00CB7D8A"/>
    <w:rsid w:val="00CC672D"/>
    <w:rsid w:val="00CC78F0"/>
    <w:rsid w:val="00CE2A8A"/>
    <w:rsid w:val="00CE44E9"/>
    <w:rsid w:val="00D018B7"/>
    <w:rsid w:val="00D130A4"/>
    <w:rsid w:val="00D15404"/>
    <w:rsid w:val="00D25107"/>
    <w:rsid w:val="00D27D92"/>
    <w:rsid w:val="00D33F35"/>
    <w:rsid w:val="00D4389F"/>
    <w:rsid w:val="00D457C7"/>
    <w:rsid w:val="00D46207"/>
    <w:rsid w:val="00D47F05"/>
    <w:rsid w:val="00D57539"/>
    <w:rsid w:val="00D679E4"/>
    <w:rsid w:val="00D67EAD"/>
    <w:rsid w:val="00D84364"/>
    <w:rsid w:val="00D84EA1"/>
    <w:rsid w:val="00D91076"/>
    <w:rsid w:val="00D94C5F"/>
    <w:rsid w:val="00D96FD9"/>
    <w:rsid w:val="00DA097B"/>
    <w:rsid w:val="00DC04FC"/>
    <w:rsid w:val="00DC2FC8"/>
    <w:rsid w:val="00DC348C"/>
    <w:rsid w:val="00DC3B89"/>
    <w:rsid w:val="00DC483B"/>
    <w:rsid w:val="00DE6002"/>
    <w:rsid w:val="00E00F86"/>
    <w:rsid w:val="00E06078"/>
    <w:rsid w:val="00E116EF"/>
    <w:rsid w:val="00E12CB9"/>
    <w:rsid w:val="00E150CA"/>
    <w:rsid w:val="00E20021"/>
    <w:rsid w:val="00E21F10"/>
    <w:rsid w:val="00E33BF4"/>
    <w:rsid w:val="00E3558E"/>
    <w:rsid w:val="00E41C2B"/>
    <w:rsid w:val="00E55960"/>
    <w:rsid w:val="00E57275"/>
    <w:rsid w:val="00E57BA5"/>
    <w:rsid w:val="00E70795"/>
    <w:rsid w:val="00E86255"/>
    <w:rsid w:val="00EA0F58"/>
    <w:rsid w:val="00EA4530"/>
    <w:rsid w:val="00EA4758"/>
    <w:rsid w:val="00EB0593"/>
    <w:rsid w:val="00EB566F"/>
    <w:rsid w:val="00ED07F3"/>
    <w:rsid w:val="00EE309D"/>
    <w:rsid w:val="00EE4188"/>
    <w:rsid w:val="00EE447B"/>
    <w:rsid w:val="00F05D8C"/>
    <w:rsid w:val="00F1741F"/>
    <w:rsid w:val="00F237FF"/>
    <w:rsid w:val="00F24655"/>
    <w:rsid w:val="00F30BCB"/>
    <w:rsid w:val="00F3170A"/>
    <w:rsid w:val="00F37669"/>
    <w:rsid w:val="00F42F90"/>
    <w:rsid w:val="00F441C6"/>
    <w:rsid w:val="00F45EE4"/>
    <w:rsid w:val="00F6373B"/>
    <w:rsid w:val="00F673EE"/>
    <w:rsid w:val="00F67EB4"/>
    <w:rsid w:val="00F700E7"/>
    <w:rsid w:val="00F7264C"/>
    <w:rsid w:val="00F777BC"/>
    <w:rsid w:val="00F834B4"/>
    <w:rsid w:val="00F9493C"/>
    <w:rsid w:val="00F95798"/>
    <w:rsid w:val="00FA7903"/>
    <w:rsid w:val="00FB1741"/>
    <w:rsid w:val="00FC4031"/>
    <w:rsid w:val="00FC7910"/>
    <w:rsid w:val="00FD0505"/>
    <w:rsid w:val="00FD6F74"/>
    <w:rsid w:val="00FE20B4"/>
    <w:rsid w:val="00FE4C75"/>
    <w:rsid w:val="00FE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90700"/>
  <w15:chartTrackingRefBased/>
  <w15:docId w15:val="{A058084D-3AE6-450C-895C-9A462EFA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6EF"/>
  </w:style>
  <w:style w:type="paragraph" w:styleId="Nadpis1">
    <w:name w:val="heading 1"/>
    <w:basedOn w:val="Normln"/>
    <w:next w:val="Normln"/>
    <w:link w:val="Nadpis1Char"/>
    <w:qFormat/>
    <w:rsid w:val="001174CD"/>
    <w:pPr>
      <w:keepNext/>
      <w:suppressAutoHyphens/>
      <w:overflowPunct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A"/>
      <w:kern w:val="1"/>
      <w:sz w:val="24"/>
      <w:szCs w:val="24"/>
      <w:lang w:eastAsia="zh-CN"/>
      <w14:ligatures w14:val="none"/>
    </w:rPr>
  </w:style>
  <w:style w:type="paragraph" w:styleId="Nadpis3">
    <w:name w:val="heading 3"/>
    <w:basedOn w:val="Normln"/>
    <w:next w:val="Normln"/>
    <w:link w:val="Nadpis3Char"/>
    <w:qFormat/>
    <w:rsid w:val="001174CD"/>
    <w:pPr>
      <w:keepNext/>
      <w:suppressAutoHyphens/>
      <w:overflowPunct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00000A"/>
      <w:kern w:val="1"/>
      <w:sz w:val="26"/>
      <w:szCs w:val="26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-bntext">
    <w:name w:val="2 - běžný text"/>
    <w:basedOn w:val="Normln"/>
    <w:qFormat/>
    <w:rsid w:val="009B2BC8"/>
    <w:pPr>
      <w:spacing w:after="320" w:line="320" w:lineRule="exact"/>
    </w:pPr>
    <w:rPr>
      <w:lang w:val="en-US"/>
    </w:rPr>
  </w:style>
  <w:style w:type="paragraph" w:customStyle="1" w:styleId="1-vodnosloven">
    <w:name w:val="1 - úvodní oslovení"/>
    <w:next w:val="2-bntext"/>
    <w:qFormat/>
    <w:rsid w:val="009B2BC8"/>
    <w:pPr>
      <w:spacing w:before="2280" w:after="320" w:line="320" w:lineRule="exact"/>
    </w:pPr>
    <w:rPr>
      <w:b/>
      <w:bCs/>
      <w:color w:val="173861" w:themeColor="text2"/>
      <w:sz w:val="26"/>
      <w:szCs w:val="26"/>
      <w:lang w:val="en-US"/>
    </w:rPr>
  </w:style>
  <w:style w:type="paragraph" w:styleId="Zhlav">
    <w:name w:val="header"/>
    <w:basedOn w:val="Normln"/>
    <w:link w:val="ZhlavChar"/>
    <w:uiPriority w:val="99"/>
    <w:unhideWhenUsed/>
    <w:rsid w:val="00B03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33E8"/>
  </w:style>
  <w:style w:type="paragraph" w:styleId="Zpat">
    <w:name w:val="footer"/>
    <w:basedOn w:val="Normln"/>
    <w:link w:val="ZpatChar"/>
    <w:uiPriority w:val="99"/>
    <w:unhideWhenUsed/>
    <w:rsid w:val="00B03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33E8"/>
  </w:style>
  <w:style w:type="table" w:styleId="Mkatabulky">
    <w:name w:val="Table Grid"/>
    <w:basedOn w:val="Normlntabulka"/>
    <w:uiPriority w:val="39"/>
    <w:rsid w:val="0050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F0AB5"/>
    <w:pPr>
      <w:spacing w:after="0" w:line="240" w:lineRule="auto"/>
      <w:ind w:left="720"/>
      <w:contextualSpacing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character" w:styleId="Hypertextovodkaz">
    <w:name w:val="Hyperlink"/>
    <w:rsid w:val="002F0AB5"/>
    <w:rPr>
      <w:color w:val="0000FF"/>
      <w:u w:val="single"/>
    </w:rPr>
  </w:style>
  <w:style w:type="paragraph" w:customStyle="1" w:styleId="Default">
    <w:name w:val="Default"/>
    <w:rsid w:val="002F0AB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paragraph" w:styleId="Normlnweb">
    <w:name w:val="Normal (Web)"/>
    <w:basedOn w:val="Normln"/>
    <w:uiPriority w:val="99"/>
    <w:unhideWhenUsed/>
    <w:rsid w:val="002F0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Barevntabulkasmkou6zvraznn1">
    <w:name w:val="Grid Table 6 Colorful Accent 1"/>
    <w:basedOn w:val="Normlntabulka"/>
    <w:uiPriority w:val="51"/>
    <w:rsid w:val="00574A24"/>
    <w:pPr>
      <w:spacing w:after="0" w:line="240" w:lineRule="auto"/>
    </w:pPr>
    <w:rPr>
      <w:color w:val="2F5496" w:themeColor="accent1" w:themeShade="BF"/>
      <w:kern w:val="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adpis1Char">
    <w:name w:val="Nadpis 1 Char"/>
    <w:basedOn w:val="Standardnpsmoodstavce"/>
    <w:link w:val="Nadpis1"/>
    <w:rsid w:val="001174CD"/>
    <w:rPr>
      <w:rFonts w:ascii="Times New Roman" w:eastAsia="Times New Roman" w:hAnsi="Times New Roman" w:cs="Times New Roman"/>
      <w:b/>
      <w:bCs/>
      <w:color w:val="00000A"/>
      <w:kern w:val="1"/>
      <w:sz w:val="24"/>
      <w:szCs w:val="24"/>
      <w:lang w:eastAsia="zh-CN"/>
      <w14:ligatures w14:val="none"/>
    </w:rPr>
  </w:style>
  <w:style w:type="character" w:customStyle="1" w:styleId="Nadpis3Char">
    <w:name w:val="Nadpis 3 Char"/>
    <w:basedOn w:val="Standardnpsmoodstavce"/>
    <w:link w:val="Nadpis3"/>
    <w:rsid w:val="001174CD"/>
    <w:rPr>
      <w:rFonts w:ascii="Cambria" w:eastAsia="Times New Roman" w:hAnsi="Cambria" w:cs="Times New Roman"/>
      <w:b/>
      <w:bCs/>
      <w:color w:val="00000A"/>
      <w:kern w:val="1"/>
      <w:sz w:val="26"/>
      <w:szCs w:val="26"/>
      <w:lang w:eastAsia="zh-CN"/>
      <w14:ligatures w14:val="none"/>
    </w:rPr>
  </w:style>
  <w:style w:type="paragraph" w:styleId="Bezmezer">
    <w:name w:val="No Spacing"/>
    <w:basedOn w:val="Normln"/>
    <w:uiPriority w:val="1"/>
    <w:qFormat/>
    <w:rsid w:val="001174C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xtpoznpodarou">
    <w:name w:val="footnote text"/>
    <w:basedOn w:val="Normln"/>
    <w:link w:val="TextpoznpodarouChar"/>
    <w:uiPriority w:val="99"/>
    <w:rsid w:val="001174CD"/>
    <w:pPr>
      <w:spacing w:before="120" w:after="120" w:line="240" w:lineRule="auto"/>
      <w:jc w:val="both"/>
    </w:pPr>
    <w:rPr>
      <w:rFonts w:ascii="Bookman Old Style" w:eastAsia="Times New Roman" w:hAnsi="Bookman Old Style" w:cs="Times New Roman"/>
      <w:kern w:val="0"/>
      <w:sz w:val="20"/>
      <w:szCs w:val="20"/>
      <w:lang w:eastAsia="zh-CN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74CD"/>
    <w:rPr>
      <w:rFonts w:ascii="Bookman Old Style" w:eastAsia="Times New Roman" w:hAnsi="Bookman Old Style" w:cs="Times New Roman"/>
      <w:kern w:val="0"/>
      <w:sz w:val="20"/>
      <w:szCs w:val="20"/>
      <w:lang w:eastAsia="zh-CN"/>
      <w14:ligatures w14:val="none"/>
    </w:rPr>
  </w:style>
  <w:style w:type="character" w:styleId="Znakapoznpodarou">
    <w:name w:val="footnote reference"/>
    <w:uiPriority w:val="99"/>
    <w:semiHidden/>
    <w:rsid w:val="001174CD"/>
    <w:rPr>
      <w:vertAlign w:val="superscript"/>
    </w:rPr>
  </w:style>
  <w:style w:type="paragraph" w:styleId="Zkladntext2">
    <w:name w:val="Body Text 2"/>
    <w:basedOn w:val="Normln"/>
    <w:link w:val="Zkladntext2Char"/>
    <w:uiPriority w:val="99"/>
    <w:unhideWhenUsed/>
    <w:rsid w:val="001174CD"/>
    <w:pPr>
      <w:widowControl w:val="0"/>
      <w:autoSpaceDE w:val="0"/>
      <w:autoSpaceDN w:val="0"/>
      <w:spacing w:after="120" w:line="480" w:lineRule="auto"/>
    </w:pPr>
    <w:rPr>
      <w:rFonts w:ascii="Segoe UI" w:eastAsia="Segoe UI" w:hAnsi="Segoe UI" w:cs="Segoe UI"/>
      <w:kern w:val="0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174CD"/>
    <w:rPr>
      <w:rFonts w:ascii="Segoe UI" w:eastAsia="Segoe UI" w:hAnsi="Segoe UI" w:cs="Segoe UI"/>
      <w:kern w:val="0"/>
      <w14:ligatures w14:val="none"/>
    </w:rPr>
  </w:style>
  <w:style w:type="character" w:customStyle="1" w:styleId="apple-converted-space">
    <w:name w:val="apple-converted-space"/>
    <w:basedOn w:val="Standardnpsmoodstavce"/>
    <w:rsid w:val="00E150CA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87417"/>
    <w:pPr>
      <w:widowControl w:val="0"/>
      <w:autoSpaceDE w:val="0"/>
      <w:autoSpaceDN w:val="0"/>
      <w:spacing w:after="120" w:line="240" w:lineRule="auto"/>
      <w:ind w:left="283"/>
    </w:pPr>
    <w:rPr>
      <w:rFonts w:ascii="Segoe UI" w:eastAsia="Segoe UI" w:hAnsi="Segoe UI" w:cs="Segoe UI"/>
      <w:kern w:val="0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87417"/>
    <w:rPr>
      <w:rFonts w:ascii="Segoe UI" w:eastAsia="Segoe UI" w:hAnsi="Segoe UI" w:cs="Segoe UI"/>
      <w:kern w:val="0"/>
      <w14:ligatures w14:val="none"/>
    </w:rPr>
  </w:style>
  <w:style w:type="paragraph" w:customStyle="1" w:styleId="Bezmezer1">
    <w:name w:val="Bez mezer1"/>
    <w:rsid w:val="00887417"/>
    <w:p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 w:val="26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E5596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91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17D8"/>
    <w:rPr>
      <w:rFonts w:ascii="Segoe UI" w:hAnsi="Segoe UI" w:cs="Segoe UI"/>
      <w:sz w:val="18"/>
      <w:szCs w:val="18"/>
    </w:rPr>
  </w:style>
  <w:style w:type="paragraph" w:customStyle="1" w:styleId="Heading1PRK">
    <w:name w:val="Heading 1 PRK"/>
    <w:basedOn w:val="Normln"/>
    <w:uiPriority w:val="6"/>
    <w:qFormat/>
    <w:rsid w:val="00D457C7"/>
    <w:pPr>
      <w:keepNext/>
      <w:numPr>
        <w:numId w:val="22"/>
      </w:numPr>
      <w:spacing w:before="160" w:after="240" w:line="240" w:lineRule="auto"/>
      <w:jc w:val="both"/>
      <w:outlineLvl w:val="0"/>
    </w:pPr>
    <w:rPr>
      <w:rFonts w:ascii="Arial" w:eastAsia="Times New Roman" w:hAnsi="Arial" w:cs="Times New Roman"/>
      <w:b/>
      <w:caps/>
      <w:lang w:eastAsia="cs-CZ"/>
    </w:rPr>
  </w:style>
  <w:style w:type="paragraph" w:customStyle="1" w:styleId="Heading2PRK">
    <w:name w:val="Heading 2 PRK"/>
    <w:basedOn w:val="Normln"/>
    <w:link w:val="Heading2PRKChar"/>
    <w:uiPriority w:val="6"/>
    <w:qFormat/>
    <w:rsid w:val="00D457C7"/>
    <w:pPr>
      <w:numPr>
        <w:ilvl w:val="1"/>
        <w:numId w:val="22"/>
      </w:numPr>
      <w:spacing w:after="240" w:line="240" w:lineRule="auto"/>
      <w:jc w:val="both"/>
      <w:outlineLvl w:val="1"/>
    </w:pPr>
    <w:rPr>
      <w:rFonts w:ascii="Arial" w:hAnsi="Arial" w:cs="Times New Roman"/>
    </w:rPr>
  </w:style>
  <w:style w:type="character" w:customStyle="1" w:styleId="Heading2PRKChar">
    <w:name w:val="Heading 2 PRK Char"/>
    <w:link w:val="Heading2PRK"/>
    <w:uiPriority w:val="6"/>
    <w:rsid w:val="00D457C7"/>
    <w:rPr>
      <w:rFonts w:ascii="Arial" w:hAnsi="Arial" w:cs="Times New Roman"/>
    </w:rPr>
  </w:style>
  <w:style w:type="paragraph" w:customStyle="1" w:styleId="Heading3PRK">
    <w:name w:val="Heading 3 PRK"/>
    <w:basedOn w:val="Normln"/>
    <w:link w:val="Heading3PRKChar"/>
    <w:uiPriority w:val="6"/>
    <w:qFormat/>
    <w:rsid w:val="00D457C7"/>
    <w:pPr>
      <w:numPr>
        <w:ilvl w:val="2"/>
        <w:numId w:val="22"/>
      </w:numPr>
      <w:spacing w:after="240" w:line="240" w:lineRule="auto"/>
      <w:jc w:val="both"/>
      <w:outlineLvl w:val="2"/>
    </w:pPr>
    <w:rPr>
      <w:rFonts w:ascii="Arial" w:hAnsi="Arial" w:cs="Times New Roman"/>
    </w:rPr>
  </w:style>
  <w:style w:type="character" w:customStyle="1" w:styleId="Heading3PRKChar">
    <w:name w:val="Heading 3 PRK Char"/>
    <w:link w:val="Heading3PRK"/>
    <w:uiPriority w:val="6"/>
    <w:rsid w:val="00D457C7"/>
    <w:rPr>
      <w:rFonts w:ascii="Arial" w:hAnsi="Arial" w:cs="Times New Roman"/>
    </w:rPr>
  </w:style>
  <w:style w:type="paragraph" w:customStyle="1" w:styleId="Heading4PRK">
    <w:name w:val="Heading 4 PRK"/>
    <w:basedOn w:val="Normln"/>
    <w:uiPriority w:val="6"/>
    <w:qFormat/>
    <w:rsid w:val="00D457C7"/>
    <w:pPr>
      <w:numPr>
        <w:ilvl w:val="3"/>
        <w:numId w:val="22"/>
      </w:numPr>
      <w:spacing w:after="240" w:line="240" w:lineRule="auto"/>
      <w:jc w:val="both"/>
      <w:outlineLvl w:val="3"/>
    </w:pPr>
    <w:rPr>
      <w:rFonts w:ascii="Arial" w:hAnsi="Arial" w:cs="Times New Roman"/>
    </w:rPr>
  </w:style>
  <w:style w:type="paragraph" w:customStyle="1" w:styleId="Heading5PRK">
    <w:name w:val="Heading 5 PRK"/>
    <w:basedOn w:val="Normln"/>
    <w:uiPriority w:val="6"/>
    <w:qFormat/>
    <w:rsid w:val="00D457C7"/>
    <w:pPr>
      <w:numPr>
        <w:ilvl w:val="4"/>
        <w:numId w:val="22"/>
      </w:numPr>
      <w:spacing w:after="240" w:line="240" w:lineRule="auto"/>
      <w:ind w:left="2127" w:hanging="709"/>
      <w:jc w:val="both"/>
      <w:outlineLvl w:val="4"/>
    </w:pPr>
    <w:rPr>
      <w:rFonts w:ascii="Arial" w:eastAsia="Times New Roman" w:hAnsi="Arial" w:cs="Times New Roman"/>
      <w:lang w:eastAsia="cs-CZ"/>
    </w:rPr>
  </w:style>
  <w:style w:type="paragraph" w:customStyle="1" w:styleId="Heading6PRK">
    <w:name w:val="Heading 6 PRK"/>
    <w:basedOn w:val="Normln"/>
    <w:uiPriority w:val="6"/>
    <w:qFormat/>
    <w:rsid w:val="00D457C7"/>
    <w:pPr>
      <w:numPr>
        <w:ilvl w:val="5"/>
        <w:numId w:val="22"/>
      </w:numPr>
      <w:spacing w:after="240" w:line="240" w:lineRule="auto"/>
      <w:jc w:val="both"/>
    </w:pPr>
    <w:rPr>
      <w:rFonts w:ascii="Arial" w:eastAsia="Times New Roman" w:hAnsi="Arial" w:cs="Times New Roman"/>
      <w:lang w:eastAsia="cs-CZ"/>
    </w:rPr>
  </w:style>
  <w:style w:type="paragraph" w:customStyle="1" w:styleId="Definition2PRK">
    <w:name w:val="Definition 2 PRK"/>
    <w:basedOn w:val="Normln"/>
    <w:link w:val="Definition2PRKChar"/>
    <w:uiPriority w:val="9"/>
    <w:rsid w:val="00D457C7"/>
    <w:pPr>
      <w:numPr>
        <w:ilvl w:val="1"/>
        <w:numId w:val="23"/>
      </w:numPr>
      <w:spacing w:after="240" w:line="240" w:lineRule="auto"/>
      <w:jc w:val="both"/>
      <w:outlineLvl w:val="1"/>
    </w:pPr>
    <w:rPr>
      <w:rFonts w:ascii="Arial" w:hAnsi="Arial" w:cs="Times New Roman"/>
    </w:rPr>
  </w:style>
  <w:style w:type="character" w:customStyle="1" w:styleId="Definition2PRKChar">
    <w:name w:val="Definition 2 PRK Char"/>
    <w:link w:val="Definition2PRK"/>
    <w:uiPriority w:val="9"/>
    <w:rsid w:val="00D457C7"/>
    <w:rPr>
      <w:rFonts w:ascii="Arial" w:hAnsi="Arial" w:cs="Times New Roman"/>
    </w:rPr>
  </w:style>
  <w:style w:type="paragraph" w:customStyle="1" w:styleId="Definition3PRK">
    <w:name w:val="Definition 3 PRK"/>
    <w:basedOn w:val="Normln"/>
    <w:uiPriority w:val="9"/>
    <w:rsid w:val="00D457C7"/>
    <w:pPr>
      <w:numPr>
        <w:ilvl w:val="2"/>
        <w:numId w:val="23"/>
      </w:numPr>
      <w:spacing w:after="240" w:line="240" w:lineRule="auto"/>
      <w:ind w:left="2127" w:hanging="709"/>
      <w:jc w:val="both"/>
      <w:outlineLvl w:val="2"/>
    </w:pPr>
    <w:rPr>
      <w:rFonts w:ascii="Arial" w:eastAsia="Times New Roman" w:hAnsi="Arial" w:cs="Times New Roman"/>
      <w:lang w:eastAsia="cs-CZ"/>
    </w:rPr>
  </w:style>
  <w:style w:type="paragraph" w:customStyle="1" w:styleId="DefinitionPRK">
    <w:name w:val="Definition PRK"/>
    <w:basedOn w:val="Normln"/>
    <w:link w:val="DefinitionPRKChar"/>
    <w:uiPriority w:val="8"/>
    <w:qFormat/>
    <w:rsid w:val="00D457C7"/>
    <w:pPr>
      <w:numPr>
        <w:numId w:val="23"/>
      </w:numPr>
      <w:spacing w:after="240" w:line="240" w:lineRule="auto"/>
      <w:jc w:val="both"/>
      <w:outlineLvl w:val="0"/>
    </w:pPr>
    <w:rPr>
      <w:rFonts w:ascii="Arial" w:hAnsi="Arial" w:cs="Times New Roman"/>
    </w:rPr>
  </w:style>
  <w:style w:type="character" w:customStyle="1" w:styleId="DefinitionPRKChar">
    <w:name w:val="Definition PRK Char"/>
    <w:link w:val="DefinitionPRK"/>
    <w:uiPriority w:val="8"/>
    <w:rsid w:val="00D457C7"/>
    <w:rPr>
      <w:rFonts w:ascii="Arial" w:hAnsi="Arial" w:cs="Times New Roman"/>
    </w:rPr>
  </w:style>
  <w:style w:type="paragraph" w:customStyle="1" w:styleId="Bodytext1PRK">
    <w:name w:val="Body text 1 PRK"/>
    <w:basedOn w:val="Normln"/>
    <w:uiPriority w:val="5"/>
    <w:qFormat/>
    <w:rsid w:val="00D457C7"/>
    <w:pPr>
      <w:numPr>
        <w:numId w:val="24"/>
      </w:numPr>
      <w:spacing w:after="240" w:line="240" w:lineRule="auto"/>
      <w:jc w:val="both"/>
      <w:outlineLvl w:val="0"/>
    </w:pPr>
    <w:rPr>
      <w:rFonts w:ascii="Arial" w:eastAsia="Times New Roman" w:hAnsi="Arial" w:cs="Times New Roman"/>
      <w:lang w:eastAsia="cs-CZ"/>
    </w:rPr>
  </w:style>
  <w:style w:type="paragraph" w:customStyle="1" w:styleId="Bodytext2PRK">
    <w:name w:val="Body text 2 PRK"/>
    <w:basedOn w:val="Normln"/>
    <w:uiPriority w:val="6"/>
    <w:rsid w:val="00D457C7"/>
    <w:pPr>
      <w:numPr>
        <w:ilvl w:val="1"/>
        <w:numId w:val="24"/>
      </w:numPr>
      <w:spacing w:after="240" w:line="240" w:lineRule="auto"/>
      <w:jc w:val="both"/>
      <w:outlineLvl w:val="1"/>
    </w:pPr>
    <w:rPr>
      <w:rFonts w:ascii="Arial" w:eastAsia="Times New Roman" w:hAnsi="Arial" w:cs="Times New Roman"/>
      <w:lang w:eastAsia="cs-CZ"/>
    </w:rPr>
  </w:style>
  <w:style w:type="paragraph" w:customStyle="1" w:styleId="Bodytext3PRK">
    <w:name w:val="Body text 3 PRK"/>
    <w:basedOn w:val="Normln"/>
    <w:uiPriority w:val="6"/>
    <w:rsid w:val="00D457C7"/>
    <w:pPr>
      <w:numPr>
        <w:ilvl w:val="2"/>
        <w:numId w:val="24"/>
      </w:numPr>
      <w:spacing w:after="240" w:line="240" w:lineRule="auto"/>
      <w:jc w:val="both"/>
      <w:outlineLvl w:val="2"/>
    </w:pPr>
    <w:rPr>
      <w:rFonts w:ascii="Arial" w:eastAsia="Times New Roman" w:hAnsi="Arial" w:cs="Times New Roman"/>
      <w:lang w:eastAsia="cs-CZ"/>
    </w:rPr>
  </w:style>
  <w:style w:type="paragraph" w:customStyle="1" w:styleId="Bodytext4PRK">
    <w:name w:val="Body text 4 PRK"/>
    <w:basedOn w:val="Normln"/>
    <w:uiPriority w:val="6"/>
    <w:rsid w:val="00D457C7"/>
    <w:pPr>
      <w:numPr>
        <w:ilvl w:val="3"/>
        <w:numId w:val="24"/>
      </w:numPr>
      <w:spacing w:after="240" w:line="240" w:lineRule="auto"/>
      <w:jc w:val="both"/>
      <w:outlineLvl w:val="3"/>
    </w:pPr>
    <w:rPr>
      <w:rFonts w:ascii="Arial" w:eastAsia="Times New Roman" w:hAnsi="Arial" w:cs="Times New Roman"/>
      <w:lang w:eastAsia="cs-CZ"/>
    </w:rPr>
  </w:style>
  <w:style w:type="paragraph" w:customStyle="1" w:styleId="Bodytext5PRK">
    <w:name w:val="Body text 5 PRK"/>
    <w:basedOn w:val="Normln"/>
    <w:uiPriority w:val="6"/>
    <w:rsid w:val="00D457C7"/>
    <w:pPr>
      <w:numPr>
        <w:ilvl w:val="4"/>
        <w:numId w:val="24"/>
      </w:numPr>
      <w:spacing w:after="240" w:line="240" w:lineRule="auto"/>
      <w:jc w:val="both"/>
      <w:outlineLvl w:val="4"/>
    </w:pPr>
    <w:rPr>
      <w:rFonts w:ascii="Arial" w:eastAsia="Times New Roman" w:hAnsi="Arial" w:cs="Times New Roman"/>
      <w:szCs w:val="20"/>
      <w:lang w:eastAsia="cs-CZ"/>
    </w:rPr>
  </w:style>
  <w:style w:type="paragraph" w:styleId="Nzev">
    <w:name w:val="Title"/>
    <w:aliases w:val="Title PRK"/>
    <w:basedOn w:val="Normln"/>
    <w:next w:val="Bodytext1PRK"/>
    <w:link w:val="NzevChar"/>
    <w:uiPriority w:val="1"/>
    <w:qFormat/>
    <w:rsid w:val="00D457C7"/>
    <w:pPr>
      <w:spacing w:before="240" w:after="360" w:line="240" w:lineRule="auto"/>
      <w:jc w:val="center"/>
    </w:pPr>
    <w:rPr>
      <w:rFonts w:ascii="Arial" w:hAnsi="Arial" w:cs="Times New Roman"/>
      <w:b/>
      <w:caps/>
      <w:spacing w:val="5"/>
      <w:sz w:val="28"/>
      <w:szCs w:val="52"/>
    </w:rPr>
  </w:style>
  <w:style w:type="character" w:customStyle="1" w:styleId="NzevChar">
    <w:name w:val="Název Char"/>
    <w:aliases w:val="Title PRK Char"/>
    <w:basedOn w:val="Standardnpsmoodstavce"/>
    <w:link w:val="Nzev"/>
    <w:uiPriority w:val="1"/>
    <w:rsid w:val="00D457C7"/>
    <w:rPr>
      <w:rFonts w:ascii="Arial" w:hAnsi="Arial" w:cs="Times New Roman"/>
      <w:b/>
      <w:caps/>
      <w:spacing w:val="5"/>
      <w:sz w:val="28"/>
      <w:szCs w:val="52"/>
    </w:rPr>
  </w:style>
  <w:style w:type="paragraph" w:customStyle="1" w:styleId="PreamblePRK">
    <w:name w:val="Preamble PRK"/>
    <w:basedOn w:val="Normln"/>
    <w:uiPriority w:val="3"/>
    <w:qFormat/>
    <w:rsid w:val="00D457C7"/>
    <w:pPr>
      <w:numPr>
        <w:numId w:val="25"/>
      </w:numPr>
      <w:spacing w:after="240" w:line="240" w:lineRule="auto"/>
      <w:jc w:val="both"/>
    </w:pPr>
    <w:rPr>
      <w:rFonts w:ascii="Arial" w:eastAsia="Times New Roman" w:hAnsi="Arial" w:cs="Times New Roman"/>
      <w:lang w:eastAsia="cs-CZ"/>
    </w:rPr>
  </w:style>
  <w:style w:type="paragraph" w:customStyle="1" w:styleId="SmluvnstranyPRK">
    <w:name w:val="Smluvní strany PRK"/>
    <w:basedOn w:val="Normln"/>
    <w:uiPriority w:val="2"/>
    <w:qFormat/>
    <w:rsid w:val="00D457C7"/>
    <w:pPr>
      <w:numPr>
        <w:numId w:val="26"/>
      </w:numPr>
      <w:spacing w:after="240" w:line="240" w:lineRule="auto"/>
      <w:ind w:left="709" w:hanging="709"/>
      <w:jc w:val="both"/>
    </w:pPr>
    <w:rPr>
      <w:rFonts w:ascii="Arial" w:eastAsia="Times New Roman" w:hAnsi="Arial" w:cs="Times New Roman"/>
      <w:lang w:eastAsia="cs-CZ"/>
    </w:rPr>
  </w:style>
  <w:style w:type="table" w:styleId="Svtltabulkasmkou1">
    <w:name w:val="Grid Table 1 Light"/>
    <w:basedOn w:val="Normlntabulka"/>
    <w:uiPriority w:val="46"/>
    <w:rsid w:val="00D457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F957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57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579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57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5798"/>
    <w:rPr>
      <w:b/>
      <w:bCs/>
      <w:sz w:val="20"/>
      <w:szCs w:val="20"/>
    </w:rPr>
  </w:style>
  <w:style w:type="paragraph" w:customStyle="1" w:styleId="TextPreamblePRK">
    <w:name w:val="Text Preamble PRK"/>
    <w:basedOn w:val="Normln"/>
    <w:uiPriority w:val="3"/>
    <w:qFormat/>
    <w:rsid w:val="00D84364"/>
    <w:pPr>
      <w:numPr>
        <w:numId w:val="28"/>
      </w:numPr>
      <w:spacing w:after="240" w:line="240" w:lineRule="auto"/>
      <w:jc w:val="both"/>
    </w:pPr>
    <w:rPr>
      <w:rFonts w:ascii="Arial" w:eastAsia="Times New Roman" w:hAnsi="Arial" w:cs="Times New Roman"/>
      <w:kern w:val="0"/>
      <w:lang w:eastAsia="cs-CZ"/>
      <w14:ligatures w14:val="none"/>
    </w:rPr>
  </w:style>
  <w:style w:type="paragraph" w:customStyle="1" w:styleId="mb-2">
    <w:name w:val="mb-2"/>
    <w:basedOn w:val="Normln"/>
    <w:rsid w:val="00DC2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24423"/>
    <w:rPr>
      <w:color w:val="605E5C"/>
      <w:shd w:val="clear" w:color="auto" w:fill="E1DFDD"/>
    </w:rPr>
  </w:style>
  <w:style w:type="paragraph" w:customStyle="1" w:styleId="List2PRK">
    <w:name w:val="List 2 PRK"/>
    <w:basedOn w:val="Bodytext1PRK"/>
    <w:uiPriority w:val="4"/>
    <w:rsid w:val="00561503"/>
    <w:pPr>
      <w:numPr>
        <w:numId w:val="32"/>
      </w:numPr>
    </w:pPr>
    <w:rPr>
      <w:kern w:val="0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5F64B0"/>
    <w:rPr>
      <w:color w:val="954F72" w:themeColor="followedHyperlink"/>
      <w:u w:val="single"/>
    </w:rPr>
  </w:style>
  <w:style w:type="paragraph" w:customStyle="1" w:styleId="List1PRK">
    <w:name w:val="List 1 PRK"/>
    <w:basedOn w:val="Bodytext1PRK"/>
    <w:uiPriority w:val="4"/>
    <w:rsid w:val="00240697"/>
    <w:pPr>
      <w:numPr>
        <w:numId w:val="34"/>
      </w:numPr>
    </w:pPr>
    <w:rPr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EXPO">
      <a:dk1>
        <a:sysClr val="windowText" lastClr="000000"/>
      </a:dk1>
      <a:lt1>
        <a:sysClr val="window" lastClr="FFFFFF"/>
      </a:lt1>
      <a:dk2>
        <a:srgbClr val="173861"/>
      </a:dk2>
      <a:lt2>
        <a:srgbClr val="FF0000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XP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23F4B-F2C8-4B91-A257-FDE5EC2C4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1257</Words>
  <Characters>7423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PRK</dc:creator>
  <cp:keywords/>
  <dc:description/>
  <cp:lastModifiedBy>Lenka Svobodová</cp:lastModifiedBy>
  <cp:revision>2</cp:revision>
  <cp:lastPrinted>2025-05-09T10:32:00Z</cp:lastPrinted>
  <dcterms:created xsi:type="dcterms:W3CDTF">2025-05-26T10:42:00Z</dcterms:created>
  <dcterms:modified xsi:type="dcterms:W3CDTF">2025-05-26T10:42:00Z</dcterms:modified>
</cp:coreProperties>
</file>