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1230800042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Rudník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139"/>
        <w:jc w:val="left"/>
      </w:pPr>
      <w:r>
        <w:rPr/>
        <w:t>kontaktní adresa:</w:t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5"/>
        </w:rPr>
        <w:t> </w:t>
      </w:r>
      <w:r>
        <w:rPr/>
        <w:t>Rudník,</w:t>
      </w:r>
      <w:r>
        <w:rPr>
          <w:spacing w:val="-5"/>
        </w:rPr>
        <w:t> </w:t>
      </w:r>
      <w:r>
        <w:rPr/>
        <w:t>Rudník</w:t>
      </w:r>
      <w:r>
        <w:rPr>
          <w:spacing w:val="-5"/>
        </w:rPr>
        <w:t> </w:t>
      </w:r>
      <w:r>
        <w:rPr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56,</w:t>
      </w:r>
      <w:r>
        <w:rPr>
          <w:spacing w:val="-5"/>
        </w:rPr>
        <w:t> </w:t>
      </w:r>
      <w:r>
        <w:rPr/>
        <w:t>543</w:t>
      </w:r>
      <w:r>
        <w:rPr>
          <w:spacing w:val="-3"/>
        </w:rPr>
        <w:t> </w:t>
      </w:r>
      <w:r>
        <w:rPr/>
        <w:t>72</w:t>
      </w:r>
      <w:r>
        <w:rPr>
          <w:spacing w:val="-3"/>
        </w:rPr>
        <w:t> </w:t>
      </w:r>
      <w:r>
        <w:rPr/>
        <w:t>Rudník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00278246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Pavlem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l ý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6518601/0710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</w:pPr>
      <w:r>
        <w:rPr/>
        <w:t>„Smlouva“) se uzavírá na základě Rozhodnutí ministra životního prostředí č. 1230800042 o poskytnutí finančních prostředků ze Státního fondu životního prostředí ČR ze dne 20.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985"/>
        <w:jc w:val="left"/>
      </w:pPr>
      <w:r>
        <w:rPr/>
        <w:t>„Revitalizace</w:t>
      </w:r>
      <w:r>
        <w:rPr>
          <w:spacing w:val="-8"/>
        </w:rPr>
        <w:t> </w:t>
      </w:r>
      <w:r>
        <w:rPr/>
        <w:t>veřejných</w:t>
      </w:r>
      <w:r>
        <w:rPr>
          <w:spacing w:val="-8"/>
        </w:rPr>
        <w:t> </w:t>
      </w:r>
      <w:r>
        <w:rPr/>
        <w:t>prostranství</w:t>
      </w:r>
      <w:r>
        <w:rPr>
          <w:spacing w:val="-7"/>
        </w:rPr>
        <w:t> </w:t>
      </w:r>
      <w:r>
        <w:rPr/>
        <w:t>obce</w:t>
      </w:r>
      <w:r>
        <w:rPr>
          <w:spacing w:val="-4"/>
        </w:rPr>
        <w:t> </w:t>
      </w:r>
      <w:r>
        <w:rPr/>
        <w:t>Rudník</w:t>
      </w:r>
      <w:r>
        <w:rPr>
          <w:spacing w:val="-9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infrastruktura“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865 365,49 Kč</w:t>
      </w:r>
      <w:r>
        <w:rPr>
          <w:b/>
          <w:spacing w:val="-1"/>
          <w:sz w:val="20"/>
        </w:rPr>
        <w:t> </w:t>
      </w:r>
      <w:r>
        <w:rPr>
          <w:sz w:val="20"/>
        </w:rPr>
        <w:t>(slovy: osm set</w:t>
      </w:r>
      <w:r>
        <w:rPr>
          <w:spacing w:val="-1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-1"/>
          <w:sz w:val="20"/>
        </w:rPr>
        <w:t> </w:t>
      </w:r>
      <w:r>
        <w:rPr>
          <w:sz w:val="20"/>
        </w:rPr>
        <w:t>sta šedesát</w:t>
      </w:r>
      <w:r>
        <w:rPr>
          <w:spacing w:val="-2"/>
          <w:sz w:val="20"/>
        </w:rPr>
        <w:t> </w:t>
      </w:r>
      <w:r>
        <w:rPr>
          <w:sz w:val="20"/>
        </w:rPr>
        <w:t>pět korun českých, čtyřicet devět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1 236 236,42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úhradě.</w:t>
      </w:r>
      <w:r>
        <w:rPr>
          <w:spacing w:val="19"/>
          <w:sz w:val="20"/>
        </w:rPr>
        <w:t> </w:t>
      </w:r>
      <w:r>
        <w:rPr>
          <w:sz w:val="20"/>
        </w:rPr>
        <w:t>Je-li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relevantní,</w:t>
      </w:r>
      <w:r>
        <w:rPr>
          <w:spacing w:val="19"/>
          <w:sz w:val="20"/>
        </w:rPr>
        <w:t> </w:t>
      </w:r>
      <w:r>
        <w:rPr>
          <w:sz w:val="20"/>
        </w:rPr>
        <w:t>Fond</w:t>
      </w:r>
      <w:r>
        <w:rPr>
          <w:spacing w:val="20"/>
          <w:sz w:val="20"/>
        </w:rPr>
        <w:t> </w:t>
      </w:r>
      <w:r>
        <w:rPr>
          <w:sz w:val="20"/>
        </w:rPr>
        <w:t>akceptuje</w:t>
      </w:r>
      <w:r>
        <w:rPr>
          <w:spacing w:val="18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faktur</w:t>
      </w:r>
      <w:r>
        <w:rPr>
          <w:spacing w:val="19"/>
          <w:sz w:val="20"/>
        </w:rPr>
        <w:t> </w:t>
      </w:r>
      <w:r>
        <w:rPr>
          <w:sz w:val="20"/>
        </w:rPr>
        <w:t>či</w:t>
      </w:r>
      <w:r>
        <w:rPr>
          <w:spacing w:val="19"/>
          <w:sz w:val="20"/>
        </w:rPr>
        <w:t> </w:t>
      </w:r>
      <w:r>
        <w:rPr>
          <w:sz w:val="20"/>
        </w:rPr>
        <w:t>jiných</w:t>
      </w:r>
      <w:r>
        <w:rPr>
          <w:spacing w:val="19"/>
          <w:sz w:val="20"/>
        </w:rPr>
        <w:t> </w:t>
      </w:r>
      <w:r>
        <w:rPr>
          <w:sz w:val="20"/>
        </w:rPr>
        <w:t>účetních</w:t>
      </w:r>
      <w:r>
        <w:rPr>
          <w:spacing w:val="19"/>
          <w:sz w:val="20"/>
        </w:rPr>
        <w:t> </w:t>
      </w:r>
      <w:r>
        <w:rPr>
          <w:sz w:val="20"/>
        </w:rPr>
        <w:t>dokladů</w:t>
      </w:r>
      <w:r>
        <w:rPr>
          <w:spacing w:val="20"/>
          <w:sz w:val="20"/>
        </w:rPr>
        <w:t> </w:t>
      </w:r>
      <w:r>
        <w:rPr>
          <w:sz w:val="20"/>
        </w:rPr>
        <w:t>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07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byla</w:t>
      </w:r>
      <w:r>
        <w:rPr>
          <w:spacing w:val="-7"/>
          <w:sz w:val="20"/>
        </w:rPr>
        <w:t> </w:t>
      </w:r>
      <w:r>
        <w:rPr>
          <w:sz w:val="20"/>
        </w:rPr>
        <w:t>provedena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odsouhlasené</w:t>
      </w:r>
      <w:r>
        <w:rPr>
          <w:spacing w:val="-7"/>
          <w:sz w:val="20"/>
        </w:rPr>
        <w:t> </w:t>
      </w:r>
      <w:r>
        <w:rPr>
          <w:sz w:val="20"/>
        </w:rPr>
        <w:t>dokumentace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žádosti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15.</w:t>
      </w:r>
      <w:r>
        <w:rPr>
          <w:spacing w:val="-6"/>
          <w:sz w:val="20"/>
        </w:rPr>
        <w:t> </w:t>
      </w:r>
      <w:r>
        <w:rPr>
          <w:sz w:val="20"/>
        </w:rPr>
        <w:t>4.</w:t>
      </w:r>
      <w:r>
        <w:rPr>
          <w:spacing w:val="-6"/>
          <w:sz w:val="20"/>
        </w:rPr>
        <w:t> </w:t>
      </w:r>
      <w:r>
        <w:rPr>
          <w:sz w:val="20"/>
        </w:rPr>
        <w:t>2024,</w:t>
      </w:r>
      <w:r>
        <w:rPr>
          <w:spacing w:val="-6"/>
          <w:sz w:val="20"/>
        </w:rPr>
        <w:t> </w:t>
      </w:r>
      <w:r>
        <w:rPr>
          <w:sz w:val="20"/>
        </w:rPr>
        <w:t>podle dokumentace</w:t>
      </w:r>
      <w:r>
        <w:rPr>
          <w:spacing w:val="-10"/>
          <w:sz w:val="20"/>
        </w:rPr>
        <w:t> </w:t>
      </w:r>
      <w:r>
        <w:rPr>
          <w:sz w:val="20"/>
        </w:rPr>
        <w:t>výběrového</w:t>
      </w:r>
      <w:r>
        <w:rPr>
          <w:spacing w:val="-9"/>
          <w:sz w:val="20"/>
        </w:rPr>
        <w:t> </w:t>
      </w:r>
      <w:r>
        <w:rPr>
          <w:sz w:val="20"/>
        </w:rPr>
        <w:t>řízení</w:t>
      </w:r>
      <w:r>
        <w:rPr>
          <w:spacing w:val="-9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dílo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společností</w:t>
      </w:r>
      <w:r>
        <w:rPr>
          <w:spacing w:val="-9"/>
          <w:sz w:val="20"/>
        </w:rPr>
        <w:t> </w:t>
      </w:r>
      <w:r>
        <w:rPr>
          <w:sz w:val="20"/>
        </w:rPr>
        <w:t>THERMONA</w:t>
      </w:r>
      <w:r>
        <w:rPr>
          <w:spacing w:val="-9"/>
          <w:sz w:val="20"/>
        </w:rPr>
        <w:t> </w:t>
      </w:r>
      <w:r>
        <w:rPr>
          <w:sz w:val="20"/>
        </w:rPr>
        <w:t>KRKONOŠE</w:t>
      </w:r>
      <w:r>
        <w:rPr>
          <w:spacing w:val="-9"/>
          <w:sz w:val="20"/>
        </w:rPr>
        <w:t> </w:t>
      </w:r>
      <w:r>
        <w:rPr>
          <w:sz w:val="20"/>
        </w:rPr>
        <w:t>s.r.o.,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 w:right="116"/>
      </w:pPr>
      <w:r>
        <w:rPr/>
        <w:t>(Nádražní</w:t>
      </w:r>
      <w:r>
        <w:rPr>
          <w:spacing w:val="51"/>
        </w:rPr>
        <w:t> </w:t>
      </w:r>
      <w:r>
        <w:rPr/>
        <w:t>902,</w:t>
      </w:r>
      <w:r>
        <w:rPr>
          <w:spacing w:val="51"/>
        </w:rPr>
        <w:t> </w:t>
      </w:r>
      <w:r>
        <w:rPr/>
        <w:t>543</w:t>
      </w:r>
      <w:r>
        <w:rPr>
          <w:spacing w:val="51"/>
        </w:rPr>
        <w:t> </w:t>
      </w:r>
      <w:r>
        <w:rPr/>
        <w:t>71</w:t>
      </w:r>
      <w:r>
        <w:rPr>
          <w:spacing w:val="40"/>
        </w:rPr>
        <w:t> </w:t>
      </w:r>
      <w:r>
        <w:rPr/>
        <w:t>Hostinné,</w:t>
      </w:r>
      <w:r>
        <w:rPr>
          <w:spacing w:val="51"/>
        </w:rPr>
        <w:t> </w:t>
      </w:r>
      <w:r>
        <w:rPr/>
        <w:t>IČ:</w:t>
      </w:r>
      <w:r>
        <w:rPr>
          <w:spacing w:val="51"/>
        </w:rPr>
        <w:t> </w:t>
      </w:r>
      <w:r>
        <w:rPr/>
        <w:t>25919539)</w:t>
      </w:r>
      <w:r>
        <w:rPr>
          <w:spacing w:val="51"/>
        </w:rPr>
        <w:t> </w:t>
      </w:r>
      <w:r>
        <w:rPr/>
        <w:t>ze</w:t>
      </w:r>
      <w:r>
        <w:rPr>
          <w:spacing w:val="40"/>
        </w:rPr>
        <w:t> </w:t>
      </w:r>
      <w:r>
        <w:rPr/>
        <w:t>dne</w:t>
      </w:r>
      <w:r>
        <w:rPr>
          <w:spacing w:val="51"/>
        </w:rPr>
        <w:t> </w:t>
      </w:r>
      <w:r>
        <w:rPr/>
        <w:t>30.</w:t>
      </w:r>
      <w:r>
        <w:rPr>
          <w:spacing w:val="51"/>
        </w:rPr>
        <w:t> </w:t>
      </w:r>
      <w:r>
        <w:rPr/>
        <w:t>5.</w:t>
      </w:r>
      <w:r>
        <w:rPr>
          <w:spacing w:val="51"/>
        </w:rPr>
        <w:t> </w:t>
      </w:r>
      <w:r>
        <w:rPr/>
        <w:t>2024,</w:t>
      </w:r>
      <w:r>
        <w:rPr>
          <w:spacing w:val="40"/>
        </w:rPr>
        <w:t> </w:t>
      </w:r>
      <w:r>
        <w:rPr/>
        <w:t>včetně</w:t>
      </w:r>
      <w:r>
        <w:rPr>
          <w:spacing w:val="40"/>
        </w:rPr>
        <w:t> </w:t>
      </w:r>
      <w:r>
        <w:rPr/>
        <w:t>případných</w:t>
      </w:r>
      <w:r>
        <w:rPr>
          <w:spacing w:val="51"/>
        </w:rPr>
        <w:t> </w:t>
      </w:r>
      <w:r>
        <w:rPr/>
        <w:t>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6" w:hanging="286"/>
        <w:jc w:val="both"/>
        <w:rPr>
          <w:sz w:val="20"/>
        </w:rPr>
      </w:pPr>
      <w:r>
        <w:rPr>
          <w:sz w:val="20"/>
        </w:rPr>
        <w:t>v období od 6/2024 do 11/2024 vybudoval zpevněné plochy na dvou lokalitách v obci Rudník: lokalita č. 1 - u č. p. 404 a lokalita č. 2 - u č. p. 405 a 418, které</w:t>
      </w:r>
      <w:r>
        <w:rPr>
          <w:spacing w:val="-1"/>
          <w:sz w:val="20"/>
        </w:rPr>
        <w:t> </w:t>
      </w:r>
      <w:r>
        <w:rPr>
          <w:sz w:val="20"/>
        </w:rPr>
        <w:t>budou sloužit</w:t>
      </w:r>
      <w:r>
        <w:rPr>
          <w:spacing w:val="-1"/>
          <w:sz w:val="20"/>
        </w:rPr>
        <w:t> </w:t>
      </w:r>
      <w:r>
        <w:rPr>
          <w:sz w:val="20"/>
        </w:rPr>
        <w:t>jako parkovací plochy pro návštěvníky vycházkového okruhu Pastviny "U Křížku"; v rámci projektu vysadil 16 ks ovocných </w:t>
      </w:r>
      <w:r>
        <w:rPr>
          <w:spacing w:val="-2"/>
          <w:sz w:val="20"/>
        </w:rPr>
        <w:t>stromů,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BodyText"/>
        <w:spacing w:before="122"/>
        <w:ind w:left="809" w:right="112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> </w:t>
      </w:r>
      <w:r>
        <w:rPr>
          <w:sz w:val="20"/>
        </w:rPr>
        <w:t>tzv.</w:t>
      </w:r>
      <w:r>
        <w:rPr>
          <w:spacing w:val="7"/>
          <w:sz w:val="20"/>
        </w:rPr>
        <w:t> </w:t>
      </w:r>
      <w:r>
        <w:rPr>
          <w:sz w:val="20"/>
        </w:rPr>
        <w:t>dvojímu</w:t>
      </w:r>
      <w:r>
        <w:rPr>
          <w:spacing w:val="7"/>
          <w:sz w:val="20"/>
        </w:rPr>
        <w:t> </w:t>
      </w:r>
      <w:r>
        <w:rPr>
          <w:sz w:val="20"/>
        </w:rPr>
        <w:t>financování</w:t>
      </w:r>
      <w:r>
        <w:rPr>
          <w:spacing w:val="7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6"/>
          <w:sz w:val="20"/>
        </w:rPr>
        <w:t> </w:t>
      </w:r>
      <w:r>
        <w:rPr>
          <w:sz w:val="20"/>
        </w:rPr>
        <w:t>10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8"/>
          <w:sz w:val="20"/>
        </w:rPr>
        <w:t> </w:t>
      </w:r>
      <w:r>
        <w:rPr>
          <w:sz w:val="20"/>
        </w:rPr>
        <w:t>n)</w:t>
      </w:r>
      <w:r>
        <w:rPr>
          <w:spacing w:val="6"/>
          <w:sz w:val="20"/>
        </w:rPr>
        <w:t> </w:t>
      </w:r>
      <w:r>
        <w:rPr>
          <w:sz w:val="20"/>
        </w:rPr>
        <w:t>Výzvy</w:t>
      </w:r>
      <w:r>
        <w:rPr>
          <w:spacing w:val="7"/>
          <w:sz w:val="20"/>
        </w:rPr>
        <w:t> </w:t>
      </w:r>
      <w:r>
        <w:rPr>
          <w:sz w:val="20"/>
        </w:rPr>
        <w:t>(a</w:t>
      </w:r>
      <w:r>
        <w:rPr>
          <w:spacing w:val="6"/>
          <w:sz w:val="20"/>
        </w:rPr>
        <w:t> </w:t>
      </w:r>
      <w:r>
        <w:rPr>
          <w:sz w:val="20"/>
        </w:rPr>
        <w:t>rovněž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3"/>
        </w:rPr>
        <w:t> </w:t>
      </w:r>
      <w:r>
        <w:rPr/>
        <w:t>q)</w:t>
      </w:r>
      <w:r>
        <w:rPr>
          <w:spacing w:val="-6"/>
        </w:rPr>
        <w:t> </w:t>
      </w:r>
      <w:r>
        <w:rPr/>
        <w:t>Výzvy,</w:t>
      </w:r>
      <w:r>
        <w:rPr>
          <w:spacing w:val="-3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08/2025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0,5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poskytnuté podpory</w:t>
      </w:r>
      <w:r>
        <w:rPr>
          <w:spacing w:val="80"/>
          <w:sz w:val="20"/>
        </w:rPr>
        <w:t> </w:t>
      </w:r>
      <w:r>
        <w:rPr>
          <w:sz w:val="20"/>
        </w:rPr>
        <w:t>za</w:t>
      </w:r>
      <w:r>
        <w:rPr>
          <w:spacing w:val="80"/>
          <w:sz w:val="20"/>
        </w:rPr>
        <w:t> </w:t>
      </w:r>
      <w:r>
        <w:rPr>
          <w:sz w:val="20"/>
        </w:rPr>
        <w:t>každý</w:t>
      </w:r>
      <w:r>
        <w:rPr>
          <w:spacing w:val="80"/>
          <w:sz w:val="20"/>
        </w:rPr>
        <w:t> </w:t>
      </w:r>
      <w:r>
        <w:rPr>
          <w:sz w:val="20"/>
        </w:rPr>
        <w:t>započatý</w:t>
      </w:r>
      <w:r>
        <w:rPr>
          <w:spacing w:val="80"/>
          <w:w w:val="150"/>
          <w:sz w:val="20"/>
        </w:rPr>
        <w:t> </w:t>
      </w:r>
      <w:r>
        <w:rPr>
          <w:sz w:val="20"/>
        </w:rPr>
        <w:t>měsíc</w:t>
      </w:r>
      <w:r>
        <w:rPr>
          <w:spacing w:val="80"/>
          <w:sz w:val="20"/>
        </w:rPr>
        <w:t> </w:t>
      </w:r>
      <w:r>
        <w:rPr>
          <w:sz w:val="20"/>
        </w:rPr>
        <w:t>prodlení.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těchto</w:t>
      </w:r>
      <w:r>
        <w:rPr>
          <w:spacing w:val="80"/>
          <w:sz w:val="20"/>
        </w:rPr>
        <w:t> </w:t>
      </w:r>
      <w:r>
        <w:rPr>
          <w:sz w:val="20"/>
        </w:rPr>
        <w:t>povinností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nepřesahující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spacing w:before="1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85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2025-05-21T13:29:52Z</dcterms:created>
  <dcterms:modified xsi:type="dcterms:W3CDTF">2025-05-21T13:29:52Z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2025-05-21T00:00:00Z</vt:filetime>
  </property>
</Properties>
</file>