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CE89" w14:textId="324AAED8" w:rsidR="00D53E6F" w:rsidRPr="0064187A" w:rsidRDefault="00723903" w:rsidP="0064187A">
      <w:pPr>
        <w:jc w:val="center"/>
        <w:rPr>
          <w:b/>
          <w:sz w:val="28"/>
          <w:szCs w:val="32"/>
          <w:lang w:val="cs-CZ"/>
        </w:rPr>
      </w:pPr>
      <w:r w:rsidRPr="0064187A">
        <w:rPr>
          <w:b/>
          <w:szCs w:val="32"/>
          <w:lang w:val="cs-CZ"/>
        </w:rPr>
        <w:t>RÁMCOVÁ KUPNÍ SMLOUVA</w:t>
      </w:r>
    </w:p>
    <w:p w14:paraId="4FEF513C" w14:textId="77777777" w:rsidR="00D53E6F" w:rsidRPr="0064187A" w:rsidRDefault="00D53E6F" w:rsidP="005D6E9F">
      <w:pPr>
        <w:spacing w:after="120"/>
        <w:jc w:val="center"/>
        <w:rPr>
          <w:i/>
          <w:sz w:val="16"/>
          <w:szCs w:val="18"/>
          <w:lang w:val="cs-CZ"/>
        </w:rPr>
      </w:pPr>
      <w:r w:rsidRPr="0064187A">
        <w:rPr>
          <w:i/>
          <w:sz w:val="16"/>
          <w:szCs w:val="18"/>
          <w:lang w:val="cs-CZ"/>
        </w:rPr>
        <w:t>uzavřená v souladu s</w:t>
      </w:r>
      <w:r w:rsidR="005E2881" w:rsidRPr="0064187A">
        <w:rPr>
          <w:i/>
          <w:sz w:val="16"/>
          <w:szCs w:val="18"/>
          <w:lang w:val="cs-CZ"/>
        </w:rPr>
        <w:t>e zákonem č. 89/2012 Sb.,</w:t>
      </w:r>
      <w:r w:rsidRPr="0064187A">
        <w:rPr>
          <w:i/>
          <w:sz w:val="16"/>
          <w:szCs w:val="18"/>
          <w:lang w:val="cs-CZ"/>
        </w:rPr>
        <w:t xml:space="preserve"> občanským zákoníkem</w:t>
      </w:r>
      <w:r w:rsidR="004F6AF0" w:rsidRPr="0064187A">
        <w:rPr>
          <w:i/>
          <w:sz w:val="16"/>
          <w:szCs w:val="18"/>
          <w:lang w:val="cs-CZ"/>
        </w:rPr>
        <w:t>,</w:t>
      </w:r>
      <w:r w:rsidRPr="0064187A">
        <w:rPr>
          <w:i/>
          <w:sz w:val="16"/>
          <w:szCs w:val="18"/>
          <w:lang w:val="cs-CZ"/>
        </w:rPr>
        <w:t xml:space="preserve"> v</w:t>
      </w:r>
      <w:r w:rsidR="005E2881" w:rsidRPr="0064187A">
        <w:rPr>
          <w:i/>
          <w:sz w:val="16"/>
          <w:szCs w:val="18"/>
          <w:lang w:val="cs-CZ"/>
        </w:rPr>
        <w:t> </w:t>
      </w:r>
      <w:r w:rsidRPr="0064187A">
        <w:rPr>
          <w:i/>
          <w:sz w:val="16"/>
          <w:szCs w:val="18"/>
          <w:lang w:val="cs-CZ"/>
        </w:rPr>
        <w:t>platném</w:t>
      </w:r>
      <w:r w:rsidR="005E2881" w:rsidRPr="0064187A">
        <w:rPr>
          <w:i/>
          <w:sz w:val="16"/>
          <w:szCs w:val="18"/>
          <w:lang w:val="cs-CZ"/>
        </w:rPr>
        <w:t xml:space="preserve"> a účinném </w:t>
      </w:r>
      <w:r w:rsidRPr="0064187A">
        <w:rPr>
          <w:i/>
          <w:sz w:val="16"/>
          <w:szCs w:val="18"/>
          <w:lang w:val="cs-CZ"/>
        </w:rPr>
        <w:t>znění</w:t>
      </w:r>
    </w:p>
    <w:p w14:paraId="5748C411" w14:textId="77777777" w:rsidR="00DE5E06" w:rsidRPr="0064187A" w:rsidRDefault="00DE5E06" w:rsidP="00D53E6F">
      <w:pPr>
        <w:jc w:val="both"/>
        <w:rPr>
          <w:b/>
          <w:lang w:val="cs-CZ"/>
        </w:rPr>
        <w:sectPr w:rsidR="00DE5E06" w:rsidRPr="0064187A" w:rsidSect="0064187A">
          <w:headerReference w:type="default" r:id="rId7"/>
          <w:footerReference w:type="default" r:id="rId8"/>
          <w:headerReference w:type="first" r:id="rId9"/>
          <w:pgSz w:w="11900" w:h="16840"/>
          <w:pgMar w:top="1702" w:right="1410" w:bottom="1440" w:left="1134" w:header="567" w:footer="708" w:gutter="0"/>
          <w:cols w:space="708"/>
          <w:titlePg/>
          <w:docGrid w:linePitch="326"/>
        </w:sectPr>
      </w:pPr>
    </w:p>
    <w:p w14:paraId="2B0C411E" w14:textId="0778E470" w:rsidR="00D53E6F" w:rsidRPr="0064187A" w:rsidRDefault="00DE5E06" w:rsidP="00D53E6F">
      <w:pPr>
        <w:jc w:val="both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Prodávající:</w:t>
      </w:r>
    </w:p>
    <w:p w14:paraId="1937AC44" w14:textId="77777777" w:rsidR="00DE5E06" w:rsidRPr="0064187A" w:rsidRDefault="00DE5E06" w:rsidP="00DE5E06">
      <w:pPr>
        <w:jc w:val="both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Professional support s.r.o.</w:t>
      </w:r>
    </w:p>
    <w:p w14:paraId="07D86248" w14:textId="77777777" w:rsidR="00DE5E06" w:rsidRPr="0064187A" w:rsidRDefault="00DE5E06" w:rsidP="00DE5E06">
      <w:pPr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Sídlo: Voříškova 402/11, 623 00 Brno</w:t>
      </w:r>
    </w:p>
    <w:p w14:paraId="133F12C4" w14:textId="355DFE68" w:rsidR="00DE5E06" w:rsidRPr="0064187A" w:rsidRDefault="00DE5E06" w:rsidP="00DE5E06">
      <w:pPr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společnost zapsána v</w:t>
      </w:r>
      <w:r w:rsidR="005D6E9F" w:rsidRPr="0064187A">
        <w:rPr>
          <w:sz w:val="16"/>
          <w:szCs w:val="18"/>
          <w:lang w:val="cs-CZ"/>
        </w:rPr>
        <w:t> OR u</w:t>
      </w:r>
      <w:r w:rsidRPr="0064187A">
        <w:rPr>
          <w:sz w:val="16"/>
          <w:szCs w:val="18"/>
          <w:lang w:val="cs-CZ"/>
        </w:rPr>
        <w:t xml:space="preserve"> Krajsk</w:t>
      </w:r>
      <w:r w:rsidR="005D6E9F" w:rsidRPr="0064187A">
        <w:rPr>
          <w:sz w:val="16"/>
          <w:szCs w:val="18"/>
          <w:lang w:val="cs-CZ"/>
        </w:rPr>
        <w:t>ého</w:t>
      </w:r>
      <w:r w:rsidRPr="0064187A">
        <w:rPr>
          <w:sz w:val="16"/>
          <w:szCs w:val="18"/>
          <w:lang w:val="cs-CZ"/>
        </w:rPr>
        <w:t xml:space="preserve"> soud</w:t>
      </w:r>
      <w:r w:rsidR="005D6E9F" w:rsidRPr="0064187A">
        <w:rPr>
          <w:sz w:val="16"/>
          <w:szCs w:val="18"/>
          <w:lang w:val="cs-CZ"/>
        </w:rPr>
        <w:t>u</w:t>
      </w:r>
      <w:r w:rsidRPr="0064187A">
        <w:rPr>
          <w:sz w:val="16"/>
          <w:szCs w:val="18"/>
          <w:lang w:val="cs-CZ"/>
        </w:rPr>
        <w:t xml:space="preserve"> v Brně, C53574</w:t>
      </w:r>
    </w:p>
    <w:p w14:paraId="75BF9BED" w14:textId="5511365E" w:rsidR="00DE5E06" w:rsidRPr="0064187A" w:rsidRDefault="00DE5E06" w:rsidP="00DE5E06">
      <w:pPr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IČ: 277 09 558 </w:t>
      </w:r>
      <w:r w:rsidRPr="0064187A">
        <w:rPr>
          <w:sz w:val="16"/>
          <w:szCs w:val="18"/>
          <w:lang w:val="cs-CZ"/>
        </w:rPr>
        <w:tab/>
      </w:r>
      <w:r w:rsidRPr="0064187A">
        <w:rPr>
          <w:sz w:val="16"/>
          <w:szCs w:val="18"/>
          <w:lang w:val="cs-CZ"/>
        </w:rPr>
        <w:tab/>
        <w:t>DIČ: CZ27709558</w:t>
      </w:r>
    </w:p>
    <w:p w14:paraId="52CDD22D" w14:textId="0EDF8DE7" w:rsidR="00DE5E06" w:rsidRPr="0064187A" w:rsidRDefault="00DE5E06" w:rsidP="00DE5E06">
      <w:pPr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Bankovní spojení: </w:t>
      </w:r>
      <w:proofErr w:type="spellStart"/>
      <w:r w:rsidRPr="0064187A">
        <w:rPr>
          <w:sz w:val="16"/>
          <w:szCs w:val="18"/>
          <w:lang w:val="cs-CZ"/>
        </w:rPr>
        <w:t>č.ú</w:t>
      </w:r>
      <w:proofErr w:type="spellEnd"/>
      <w:r w:rsidRPr="0064187A">
        <w:rPr>
          <w:sz w:val="16"/>
          <w:szCs w:val="18"/>
          <w:lang w:val="cs-CZ"/>
        </w:rPr>
        <w:t>.: 205 826 6329 / 0800</w:t>
      </w:r>
    </w:p>
    <w:p w14:paraId="3D04E496" w14:textId="77777777" w:rsidR="00DE5E06" w:rsidRPr="0064187A" w:rsidRDefault="00DE5E06" w:rsidP="00DE5E06">
      <w:pPr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zastoupen Ing. Petrem Stehlíkem, jednatelem</w:t>
      </w:r>
    </w:p>
    <w:p w14:paraId="7FC218F8" w14:textId="52BA976E" w:rsidR="00DE5E06" w:rsidRPr="0064187A" w:rsidRDefault="00DE5E06" w:rsidP="003504B4">
      <w:pPr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e-mail pro elektronickou komunikaci s kupujícím: </w:t>
      </w:r>
    </w:p>
    <w:p w14:paraId="60A4A1FB" w14:textId="1D1D6125" w:rsidR="00DE5E06" w:rsidRPr="0064187A" w:rsidRDefault="00DE5E06" w:rsidP="005D6E9F">
      <w:pPr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jako prodávající (dále jen jako „</w:t>
      </w:r>
      <w:r w:rsidRPr="003504B4">
        <w:rPr>
          <w:b/>
          <w:i/>
          <w:sz w:val="16"/>
          <w:szCs w:val="18"/>
          <w:lang w:val="cs-CZ"/>
        </w:rPr>
        <w:t>prodávající</w:t>
      </w:r>
      <w:r w:rsidRPr="0064187A">
        <w:rPr>
          <w:sz w:val="16"/>
          <w:szCs w:val="18"/>
          <w:lang w:val="cs-CZ"/>
        </w:rPr>
        <w:t>“)</w:t>
      </w:r>
    </w:p>
    <w:p w14:paraId="4FE4E1B5" w14:textId="0CD6BB2A" w:rsidR="005D6E9F" w:rsidRPr="0064187A" w:rsidRDefault="005D6E9F" w:rsidP="005D6E9F">
      <w:pPr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Kupující:</w:t>
      </w:r>
      <w:r w:rsidR="004C1B77" w:rsidRPr="004C1B77">
        <w:t xml:space="preserve"> </w:t>
      </w:r>
    </w:p>
    <w:p w14:paraId="1C76B2C7" w14:textId="1EB3F5FE" w:rsidR="005D6E9F" w:rsidRPr="0064187A" w:rsidRDefault="005D6E9F" w:rsidP="005D6E9F">
      <w:pPr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 xml:space="preserve">Firma: </w:t>
      </w:r>
    </w:p>
    <w:p w14:paraId="10B53265" w14:textId="727E929E" w:rsidR="005D6E9F" w:rsidRPr="0064187A" w:rsidRDefault="005D6E9F" w:rsidP="005D6E9F">
      <w:pPr>
        <w:rPr>
          <w:sz w:val="16"/>
          <w:szCs w:val="18"/>
          <w:lang w:val="cs-CZ"/>
        </w:rPr>
      </w:pPr>
      <w:proofErr w:type="gramStart"/>
      <w:r w:rsidRPr="0064187A">
        <w:rPr>
          <w:sz w:val="16"/>
          <w:szCs w:val="18"/>
          <w:lang w:val="cs-CZ"/>
        </w:rPr>
        <w:t xml:space="preserve">Sídlo: </w:t>
      </w:r>
      <w:r w:rsidR="004C1B77">
        <w:rPr>
          <w:sz w:val="16"/>
          <w:szCs w:val="18"/>
          <w:lang w:val="cs-CZ"/>
        </w:rPr>
        <w:t xml:space="preserve">  </w:t>
      </w:r>
      <w:proofErr w:type="gramEnd"/>
      <w:r w:rsidR="004C1B77">
        <w:rPr>
          <w:sz w:val="16"/>
          <w:szCs w:val="18"/>
          <w:lang w:val="cs-CZ"/>
        </w:rPr>
        <w:t xml:space="preserve"> </w:t>
      </w:r>
      <w:r w:rsidR="009A1135" w:rsidRPr="009A1135">
        <w:rPr>
          <w:sz w:val="16"/>
          <w:szCs w:val="18"/>
          <w:lang w:val="cs-CZ"/>
        </w:rPr>
        <w:t>Kvasiny 340</w:t>
      </w:r>
      <w:r w:rsidR="009A1135">
        <w:rPr>
          <w:sz w:val="16"/>
          <w:szCs w:val="18"/>
          <w:lang w:val="cs-CZ"/>
        </w:rPr>
        <w:t xml:space="preserve">, </w:t>
      </w:r>
      <w:r w:rsidR="009A1135" w:rsidRPr="009A1135">
        <w:rPr>
          <w:sz w:val="16"/>
          <w:szCs w:val="18"/>
          <w:lang w:val="cs-CZ"/>
        </w:rPr>
        <w:t>Kvasiny</w:t>
      </w:r>
      <w:r w:rsidR="009A1135">
        <w:rPr>
          <w:sz w:val="16"/>
          <w:szCs w:val="18"/>
          <w:lang w:val="cs-CZ"/>
        </w:rPr>
        <w:t xml:space="preserve"> </w:t>
      </w:r>
      <w:r w:rsidR="009A1135" w:rsidRPr="009A1135">
        <w:rPr>
          <w:sz w:val="16"/>
          <w:szCs w:val="18"/>
          <w:lang w:val="cs-CZ"/>
        </w:rPr>
        <w:t>517 02</w:t>
      </w:r>
      <w:r w:rsidRPr="0064187A">
        <w:rPr>
          <w:sz w:val="16"/>
          <w:szCs w:val="18"/>
          <w:lang w:val="cs-CZ"/>
        </w:rPr>
        <w:tab/>
      </w:r>
    </w:p>
    <w:p w14:paraId="125B05B7" w14:textId="7B44E0D2" w:rsidR="005D6E9F" w:rsidRPr="0064187A" w:rsidRDefault="005D6E9F" w:rsidP="005D6E9F">
      <w:pPr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společnost zapsána v OR u</w:t>
      </w:r>
    </w:p>
    <w:p w14:paraId="48F6F9B9" w14:textId="34F7BA54" w:rsidR="005D6E9F" w:rsidRPr="0064187A" w:rsidRDefault="005D6E9F" w:rsidP="005D6E9F">
      <w:pPr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IČ:</w:t>
      </w:r>
      <w:r w:rsidR="009A1135" w:rsidRPr="009A1135">
        <w:t xml:space="preserve"> </w:t>
      </w:r>
      <w:r w:rsidR="009A1135" w:rsidRPr="009A1135">
        <w:rPr>
          <w:sz w:val="16"/>
          <w:szCs w:val="18"/>
          <w:lang w:val="cs-CZ"/>
        </w:rPr>
        <w:t>42886201</w:t>
      </w:r>
      <w:r w:rsidRPr="0064187A">
        <w:rPr>
          <w:sz w:val="16"/>
          <w:szCs w:val="18"/>
          <w:lang w:val="cs-CZ"/>
        </w:rPr>
        <w:tab/>
      </w:r>
      <w:r w:rsidRPr="0064187A">
        <w:rPr>
          <w:sz w:val="16"/>
          <w:szCs w:val="18"/>
          <w:lang w:val="cs-CZ"/>
        </w:rPr>
        <w:tab/>
        <w:t xml:space="preserve">DIČ: </w:t>
      </w:r>
    </w:p>
    <w:p w14:paraId="45D7098B" w14:textId="01A44527" w:rsidR="005D6E9F" w:rsidRPr="0064187A" w:rsidRDefault="005D6E9F" w:rsidP="005D6E9F">
      <w:pPr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Bankovní spojení:</w:t>
      </w:r>
      <w:r w:rsidR="004C1B77">
        <w:rPr>
          <w:sz w:val="16"/>
          <w:szCs w:val="18"/>
          <w:lang w:val="cs-CZ"/>
        </w:rPr>
        <w:t xml:space="preserve"> </w:t>
      </w:r>
    </w:p>
    <w:p w14:paraId="65960371" w14:textId="74D7690B" w:rsidR="005D6E9F" w:rsidRPr="0064187A" w:rsidRDefault="005D6E9F" w:rsidP="005D6E9F">
      <w:pPr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Zastoupen: </w:t>
      </w:r>
      <w:r w:rsidR="009A1135" w:rsidRPr="009A1135">
        <w:rPr>
          <w:b/>
          <w:bCs/>
          <w:sz w:val="16"/>
          <w:szCs w:val="18"/>
        </w:rPr>
        <w:t>Mašková Jana</w:t>
      </w:r>
    </w:p>
    <w:p w14:paraId="470F001C" w14:textId="1EBCF974" w:rsidR="005D6E9F" w:rsidRPr="0064187A" w:rsidRDefault="005D6E9F" w:rsidP="005D6E9F">
      <w:pPr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e-mail pro elektronickou komunikaci s prodávajícím: </w:t>
      </w:r>
    </w:p>
    <w:p w14:paraId="6C8C1512" w14:textId="258407E4" w:rsidR="005D6E9F" w:rsidRPr="0064187A" w:rsidRDefault="005D6E9F" w:rsidP="005D6E9F">
      <w:pPr>
        <w:rPr>
          <w:sz w:val="16"/>
          <w:szCs w:val="18"/>
          <w:lang w:val="cs-CZ"/>
        </w:rPr>
        <w:sectPr w:rsidR="005D6E9F" w:rsidRPr="0064187A" w:rsidSect="00DE5E06">
          <w:type w:val="continuous"/>
          <w:pgSz w:w="11900" w:h="16840"/>
          <w:pgMar w:top="1702" w:right="1410" w:bottom="1440" w:left="1134" w:header="568" w:footer="708" w:gutter="0"/>
          <w:cols w:num="2" w:space="709"/>
        </w:sectPr>
      </w:pPr>
      <w:r w:rsidRPr="0064187A">
        <w:rPr>
          <w:sz w:val="16"/>
          <w:szCs w:val="18"/>
          <w:lang w:val="cs-CZ"/>
        </w:rPr>
        <w:t>jako kupující (dále jen jako „</w:t>
      </w:r>
      <w:r w:rsidRPr="003504B4">
        <w:rPr>
          <w:b/>
          <w:i/>
          <w:sz w:val="16"/>
          <w:szCs w:val="18"/>
          <w:lang w:val="cs-CZ"/>
        </w:rPr>
        <w:t>kupující</w:t>
      </w:r>
      <w:r w:rsidRPr="0064187A">
        <w:rPr>
          <w:sz w:val="16"/>
          <w:szCs w:val="18"/>
          <w:lang w:val="cs-CZ"/>
        </w:rPr>
        <w:t>“)</w:t>
      </w:r>
    </w:p>
    <w:p w14:paraId="4D35B508" w14:textId="7945243C" w:rsidR="00D53E6F" w:rsidRPr="0064187A" w:rsidRDefault="00723903" w:rsidP="005D6E9F">
      <w:pPr>
        <w:spacing w:before="120"/>
        <w:jc w:val="center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uzavřeli dnešního dne, měsíce a roku tuto Rámcovou</w:t>
      </w:r>
      <w:r w:rsidR="000C627F" w:rsidRPr="0064187A">
        <w:rPr>
          <w:sz w:val="16"/>
          <w:szCs w:val="18"/>
          <w:lang w:val="cs-CZ"/>
        </w:rPr>
        <w:t xml:space="preserve"> kupní</w:t>
      </w:r>
      <w:r w:rsidRPr="0064187A">
        <w:rPr>
          <w:sz w:val="16"/>
          <w:szCs w:val="18"/>
          <w:lang w:val="cs-CZ"/>
        </w:rPr>
        <w:t xml:space="preserve"> smlouvu (dále jen jako „</w:t>
      </w:r>
      <w:r w:rsidRPr="0064187A">
        <w:rPr>
          <w:b/>
          <w:i/>
          <w:sz w:val="16"/>
          <w:szCs w:val="18"/>
          <w:lang w:val="cs-CZ"/>
        </w:rPr>
        <w:t>Smlouva</w:t>
      </w:r>
      <w:r w:rsidRPr="0064187A">
        <w:rPr>
          <w:sz w:val="16"/>
          <w:szCs w:val="18"/>
          <w:lang w:val="cs-CZ"/>
        </w:rPr>
        <w:t>“) v následujícím znění:</w:t>
      </w:r>
    </w:p>
    <w:p w14:paraId="41D2D9B5" w14:textId="17254730" w:rsidR="00723903" w:rsidRPr="0064187A" w:rsidRDefault="00D53E6F" w:rsidP="00E2793E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 xml:space="preserve">Předmět </w:t>
      </w:r>
      <w:r w:rsidR="00723903" w:rsidRPr="0064187A">
        <w:rPr>
          <w:b/>
          <w:sz w:val="16"/>
          <w:szCs w:val="18"/>
          <w:lang w:val="cs-CZ"/>
        </w:rPr>
        <w:t>Smlouvy</w:t>
      </w:r>
    </w:p>
    <w:p w14:paraId="50F6DCC1" w14:textId="77777777" w:rsidR="00723903" w:rsidRPr="0064187A" w:rsidRDefault="00723903" w:rsidP="003504B4">
      <w:pPr>
        <w:pStyle w:val="Odstavecseseznamem"/>
        <w:numPr>
          <w:ilvl w:val="0"/>
          <w:numId w:val="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Předmětem této Smlouvy je rámcové vymezení podmínek, za kterých budou mezi Smluvními stranami uzavírány jednotlivé dílčí kupní smlouvy, jakož i rámcové vymezení obsahu těchto jednotlivých dílčích kupních smluv (tedy rámcové stanovení práv a povinností Smluvních stran z jednotlivých </w:t>
      </w:r>
      <w:r w:rsidR="00C72E18" w:rsidRPr="0064187A">
        <w:rPr>
          <w:sz w:val="16"/>
          <w:szCs w:val="18"/>
          <w:lang w:val="cs-CZ"/>
        </w:rPr>
        <w:t xml:space="preserve">dílčích </w:t>
      </w:r>
      <w:r w:rsidRPr="0064187A">
        <w:rPr>
          <w:sz w:val="16"/>
          <w:szCs w:val="18"/>
          <w:lang w:val="cs-CZ"/>
        </w:rPr>
        <w:t xml:space="preserve">kupních smluv). </w:t>
      </w:r>
    </w:p>
    <w:p w14:paraId="297FB673" w14:textId="77777777" w:rsidR="009009DB" w:rsidRPr="0064187A" w:rsidRDefault="00723903" w:rsidP="003504B4">
      <w:pPr>
        <w:pStyle w:val="Odstavecseseznamem"/>
        <w:numPr>
          <w:ilvl w:val="0"/>
          <w:numId w:val="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Na základě této Smlouvy nevzniká prodávajícímu jakýkoliv závazek dodat kupujícímu zboží, stejně tak nevzniká na základě této Smlouvy kupujícímu povinnost jakékoliv zboží od prodávajícího převzít a zaplatit za něj kupní cenu</w:t>
      </w:r>
      <w:r w:rsidR="00A45428" w:rsidRPr="0064187A">
        <w:rPr>
          <w:sz w:val="16"/>
          <w:szCs w:val="18"/>
          <w:lang w:val="cs-CZ"/>
        </w:rPr>
        <w:t xml:space="preserve">. Tyto závazky kupujícího a prodávajícího vzniknou vždy až na základě </w:t>
      </w:r>
      <w:r w:rsidRPr="0064187A">
        <w:rPr>
          <w:sz w:val="16"/>
          <w:szCs w:val="18"/>
          <w:lang w:val="cs-CZ"/>
        </w:rPr>
        <w:t>dílčí kupní smlouvy, která bud</w:t>
      </w:r>
      <w:r w:rsidR="00A45428" w:rsidRPr="0064187A">
        <w:rPr>
          <w:sz w:val="16"/>
          <w:szCs w:val="18"/>
          <w:lang w:val="cs-CZ"/>
        </w:rPr>
        <w:t xml:space="preserve">e Smluvními stranami uzavřena v době po uzavření </w:t>
      </w:r>
      <w:r w:rsidRPr="0064187A">
        <w:rPr>
          <w:sz w:val="16"/>
          <w:szCs w:val="18"/>
          <w:lang w:val="cs-CZ"/>
        </w:rPr>
        <w:t>této Smlouvy (dále jen jako „dílčí kupní smlouva“).</w:t>
      </w:r>
    </w:p>
    <w:p w14:paraId="2387278E" w14:textId="77777777" w:rsidR="00723903" w:rsidRPr="0064187A" w:rsidRDefault="009009DB" w:rsidP="003504B4">
      <w:pPr>
        <w:pStyle w:val="Odstavecseseznamem"/>
        <w:numPr>
          <w:ilvl w:val="0"/>
          <w:numId w:val="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Smluvní strany výslovně dohodou určují, že tato Smlouva se bude vztahovat na všechny kupní smlouvy o dodávkách zboží uzavřené mezi prodávajícím (v postavení prodávajícího) a kupujícím (v postavení kupujícího), i když v nich nebude výslovně určeno, že jde o dílčí kupní smlouvy ve smyslu ustanovení této Smlouvy. Všechny tyto smlouvy se považují za dílčí kupní smlouvy a podle dohody Smluvních stran pro ně platí tato Smlouva. Jedinou přípustnou výjimkou z režimu dle předchozích vět tohoto odstavce je situace, kdy se Smluvní strany ve smlouvě o dodávce zboží dohodnou výslovně a písemně na tom, že se tato Smlouva na tuto konkrétní kupní smlouvu o dodávce zboží nevztahuje. </w:t>
      </w:r>
    </w:p>
    <w:p w14:paraId="13053AE5" w14:textId="77777777" w:rsidR="009009DB" w:rsidRPr="0064187A" w:rsidRDefault="009009DB" w:rsidP="003504B4">
      <w:pPr>
        <w:pStyle w:val="Odstavecseseznamem"/>
        <w:numPr>
          <w:ilvl w:val="0"/>
          <w:numId w:val="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Dle této Smlouvy není prodávající povinen vytvářet jakoukoliv skladovou zásobu zboží, neodpovídá za to, že poptávané zboží bude dostupné, a proto je třeba vždy ověřit aktuální dostupnost požadovaného produktu, možnosti jeho výroby a možný termín jeho dodání. Před podáním závazné objednávky bude třeba zjistit </w:t>
      </w:r>
      <w:r w:rsidR="00885B12" w:rsidRPr="0064187A">
        <w:rPr>
          <w:sz w:val="16"/>
          <w:szCs w:val="18"/>
          <w:lang w:val="cs-CZ"/>
        </w:rPr>
        <w:t xml:space="preserve">ze strany kupujícího </w:t>
      </w:r>
      <w:r w:rsidRPr="0064187A">
        <w:rPr>
          <w:sz w:val="16"/>
          <w:szCs w:val="18"/>
          <w:lang w:val="cs-CZ"/>
        </w:rPr>
        <w:t xml:space="preserve">též aktuální cenu poptávaného zboží. Tyto zjištěné údaje pak budou sloužit jako podklady pro uzavření dílčí kupní smlouvy. </w:t>
      </w:r>
    </w:p>
    <w:p w14:paraId="08603D0B" w14:textId="4ED0F1B7" w:rsidR="00723903" w:rsidRPr="0064187A" w:rsidRDefault="00117C30" w:rsidP="003504B4">
      <w:pPr>
        <w:pStyle w:val="Odstavecseseznamem"/>
        <w:numPr>
          <w:ilvl w:val="0"/>
          <w:numId w:val="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Smluvní strany se tímto zavazují, že budou mezi seb</w:t>
      </w:r>
      <w:r w:rsidR="009C5196" w:rsidRPr="0064187A">
        <w:rPr>
          <w:sz w:val="16"/>
          <w:szCs w:val="18"/>
          <w:lang w:val="cs-CZ"/>
        </w:rPr>
        <w:t>ou uzavírat dílčí kupní smlouvy</w:t>
      </w:r>
      <w:r w:rsidRPr="0064187A">
        <w:rPr>
          <w:sz w:val="16"/>
          <w:szCs w:val="18"/>
          <w:lang w:val="cs-CZ"/>
        </w:rPr>
        <w:t xml:space="preserve">, ve kterých se prodávající </w:t>
      </w:r>
      <w:r w:rsidR="00196B0E" w:rsidRPr="0064187A">
        <w:rPr>
          <w:sz w:val="16"/>
          <w:szCs w:val="18"/>
          <w:lang w:val="cs-CZ"/>
        </w:rPr>
        <w:t xml:space="preserve">zejména </w:t>
      </w:r>
      <w:r w:rsidRPr="0064187A">
        <w:rPr>
          <w:sz w:val="16"/>
          <w:szCs w:val="18"/>
          <w:lang w:val="cs-CZ"/>
        </w:rPr>
        <w:t xml:space="preserve">zaváže dodat kupujícímu zboží dle jeho objednávky, a kupující se </w:t>
      </w:r>
      <w:r w:rsidR="00196B0E" w:rsidRPr="0064187A">
        <w:rPr>
          <w:sz w:val="16"/>
          <w:szCs w:val="18"/>
          <w:lang w:val="cs-CZ"/>
        </w:rPr>
        <w:t>zejména zaváže</w:t>
      </w:r>
      <w:r w:rsidRPr="0064187A">
        <w:rPr>
          <w:sz w:val="16"/>
          <w:szCs w:val="18"/>
          <w:lang w:val="cs-CZ"/>
        </w:rPr>
        <w:t xml:space="preserve"> za zboží zaplatit kupní cenu. </w:t>
      </w:r>
    </w:p>
    <w:p w14:paraId="4F0099E2" w14:textId="14A68A2B" w:rsidR="007046B7" w:rsidRPr="0064187A" w:rsidRDefault="007046B7" w:rsidP="00E2793E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Zboží</w:t>
      </w:r>
      <w:r w:rsidR="00C914B3" w:rsidRPr="0064187A">
        <w:rPr>
          <w:b/>
          <w:sz w:val="16"/>
          <w:szCs w:val="18"/>
          <w:lang w:val="cs-CZ"/>
        </w:rPr>
        <w:t>, uzavírání dílčích kupních smluv</w:t>
      </w:r>
    </w:p>
    <w:p w14:paraId="651C4A9E" w14:textId="3BE760B2" w:rsidR="00EB6331" w:rsidRPr="0064187A" w:rsidRDefault="004F3A4B" w:rsidP="003504B4">
      <w:pPr>
        <w:pStyle w:val="Odstavecseseznamem"/>
        <w:numPr>
          <w:ilvl w:val="0"/>
          <w:numId w:val="1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Předmětem dílčích kupních smluv bu</w:t>
      </w:r>
      <w:r w:rsidR="00C914B3" w:rsidRPr="0064187A">
        <w:rPr>
          <w:sz w:val="16"/>
          <w:szCs w:val="18"/>
          <w:lang w:val="cs-CZ"/>
        </w:rPr>
        <w:t xml:space="preserve">de zboží </w:t>
      </w:r>
      <w:r w:rsidR="00670ACB" w:rsidRPr="0064187A">
        <w:rPr>
          <w:sz w:val="16"/>
          <w:szCs w:val="18"/>
          <w:lang w:val="cs-CZ"/>
        </w:rPr>
        <w:t xml:space="preserve">prodávajícího </w:t>
      </w:r>
      <w:r w:rsidR="00C914B3" w:rsidRPr="0064187A">
        <w:rPr>
          <w:sz w:val="16"/>
          <w:szCs w:val="18"/>
          <w:lang w:val="cs-CZ"/>
        </w:rPr>
        <w:t>z</w:t>
      </w:r>
      <w:r w:rsidR="00BA6509" w:rsidRPr="0064187A">
        <w:rPr>
          <w:sz w:val="16"/>
          <w:szCs w:val="18"/>
          <w:lang w:val="cs-CZ"/>
        </w:rPr>
        <w:t> kategorie pra</w:t>
      </w:r>
      <w:r w:rsidR="0055250C" w:rsidRPr="0064187A">
        <w:rPr>
          <w:sz w:val="16"/>
          <w:szCs w:val="18"/>
          <w:lang w:val="cs-CZ"/>
        </w:rPr>
        <w:t>ní/úklid/drogerie, které je</w:t>
      </w:r>
      <w:r w:rsidR="00BA6509" w:rsidRPr="0064187A">
        <w:rPr>
          <w:sz w:val="16"/>
          <w:szCs w:val="18"/>
          <w:lang w:val="cs-CZ"/>
        </w:rPr>
        <w:t xml:space="preserve"> </w:t>
      </w:r>
      <w:r w:rsidR="0055250C" w:rsidRPr="0064187A">
        <w:rPr>
          <w:sz w:val="16"/>
          <w:szCs w:val="18"/>
          <w:lang w:val="cs-CZ"/>
        </w:rPr>
        <w:t xml:space="preserve">ke dni </w:t>
      </w:r>
      <w:r w:rsidR="00670ACB" w:rsidRPr="0064187A">
        <w:rPr>
          <w:sz w:val="16"/>
          <w:szCs w:val="18"/>
          <w:lang w:val="cs-CZ"/>
        </w:rPr>
        <w:t xml:space="preserve">vyhotovení </w:t>
      </w:r>
      <w:r w:rsidR="0055250C" w:rsidRPr="0064187A">
        <w:rPr>
          <w:sz w:val="16"/>
          <w:szCs w:val="18"/>
          <w:lang w:val="cs-CZ"/>
        </w:rPr>
        <w:t xml:space="preserve">objednávky kupujícího </w:t>
      </w:r>
      <w:r w:rsidR="00BA6509" w:rsidRPr="0064187A">
        <w:rPr>
          <w:sz w:val="16"/>
          <w:szCs w:val="18"/>
          <w:lang w:val="cs-CZ"/>
        </w:rPr>
        <w:t>v</w:t>
      </w:r>
      <w:r w:rsidR="0055250C" w:rsidRPr="0064187A">
        <w:rPr>
          <w:sz w:val="16"/>
          <w:szCs w:val="18"/>
          <w:lang w:val="cs-CZ"/>
        </w:rPr>
        <w:t> aktuální nabídce</w:t>
      </w:r>
      <w:r w:rsidR="00BA6509" w:rsidRPr="0064187A">
        <w:rPr>
          <w:sz w:val="16"/>
          <w:szCs w:val="18"/>
          <w:lang w:val="cs-CZ"/>
        </w:rPr>
        <w:t xml:space="preserve"> </w:t>
      </w:r>
      <w:r w:rsidR="00D31B08" w:rsidRPr="0064187A">
        <w:rPr>
          <w:sz w:val="16"/>
          <w:szCs w:val="18"/>
          <w:lang w:val="cs-CZ"/>
        </w:rPr>
        <w:t xml:space="preserve">zboží </w:t>
      </w:r>
      <w:r w:rsidR="00BA6509" w:rsidRPr="0064187A">
        <w:rPr>
          <w:sz w:val="16"/>
          <w:szCs w:val="18"/>
          <w:lang w:val="cs-CZ"/>
        </w:rPr>
        <w:t>prodávajícího</w:t>
      </w:r>
      <w:r w:rsidR="0055250C" w:rsidRPr="0064187A">
        <w:rPr>
          <w:sz w:val="16"/>
          <w:szCs w:val="18"/>
          <w:lang w:val="cs-CZ"/>
        </w:rPr>
        <w:t xml:space="preserve"> (dále jen jako „zboží“). Nabídka zboží prodávajícího je prováděna pomocí aktuálního ceníku, čímž se rozumí dokument s označením „Ceník</w:t>
      </w:r>
      <w:r w:rsidR="00E2793E" w:rsidRPr="0064187A">
        <w:rPr>
          <w:sz w:val="16"/>
          <w:szCs w:val="18"/>
          <w:lang w:val="cs-CZ"/>
        </w:rPr>
        <w:t xml:space="preserve"> a objednávkový list</w:t>
      </w:r>
      <w:r w:rsidR="0055250C" w:rsidRPr="0064187A">
        <w:rPr>
          <w:sz w:val="16"/>
          <w:szCs w:val="18"/>
          <w:lang w:val="cs-CZ"/>
        </w:rPr>
        <w:t>“, který obsahuje prodávajícím nabízené zboží</w:t>
      </w:r>
      <w:r w:rsidR="00D31B08" w:rsidRPr="0064187A">
        <w:rPr>
          <w:sz w:val="16"/>
          <w:szCs w:val="18"/>
          <w:lang w:val="cs-CZ"/>
        </w:rPr>
        <w:t xml:space="preserve"> (dále jen jako „</w:t>
      </w:r>
      <w:r w:rsidR="006B0D66" w:rsidRPr="0064187A">
        <w:rPr>
          <w:sz w:val="16"/>
          <w:szCs w:val="18"/>
          <w:lang w:val="cs-CZ"/>
        </w:rPr>
        <w:t>c</w:t>
      </w:r>
      <w:r w:rsidR="00D31B08" w:rsidRPr="0064187A">
        <w:rPr>
          <w:sz w:val="16"/>
          <w:szCs w:val="18"/>
          <w:lang w:val="cs-CZ"/>
        </w:rPr>
        <w:t>eník“)</w:t>
      </w:r>
      <w:r w:rsidR="0055250C" w:rsidRPr="0064187A">
        <w:rPr>
          <w:sz w:val="16"/>
          <w:szCs w:val="18"/>
          <w:lang w:val="cs-CZ"/>
        </w:rPr>
        <w:t xml:space="preserve"> včetně jeho cen</w:t>
      </w:r>
      <w:r w:rsidR="00402A71" w:rsidRPr="0064187A">
        <w:rPr>
          <w:sz w:val="16"/>
          <w:szCs w:val="18"/>
          <w:lang w:val="cs-CZ"/>
        </w:rPr>
        <w:t xml:space="preserve"> nebo cena uvedená ve </w:t>
      </w:r>
      <w:proofErr w:type="spellStart"/>
      <w:r w:rsidR="00402A71" w:rsidRPr="0064187A">
        <w:rPr>
          <w:sz w:val="16"/>
          <w:szCs w:val="18"/>
          <w:lang w:val="cs-CZ"/>
        </w:rPr>
        <w:t>webshopu</w:t>
      </w:r>
      <w:proofErr w:type="spellEnd"/>
      <w:r w:rsidR="00402A71" w:rsidRPr="0064187A">
        <w:rPr>
          <w:sz w:val="16"/>
          <w:szCs w:val="18"/>
          <w:lang w:val="cs-CZ"/>
        </w:rPr>
        <w:t xml:space="preserve"> po přihlášení kupujícího</w:t>
      </w:r>
      <w:r w:rsidR="0055250C" w:rsidRPr="0064187A">
        <w:rPr>
          <w:sz w:val="16"/>
          <w:szCs w:val="18"/>
          <w:lang w:val="cs-CZ"/>
        </w:rPr>
        <w:t>.</w:t>
      </w:r>
      <w:r w:rsidR="00670ACB" w:rsidRPr="0064187A">
        <w:rPr>
          <w:sz w:val="16"/>
          <w:szCs w:val="18"/>
          <w:lang w:val="cs-CZ"/>
        </w:rPr>
        <w:t xml:space="preserve"> </w:t>
      </w:r>
    </w:p>
    <w:p w14:paraId="09676F3C" w14:textId="032504C0" w:rsidR="00D4744A" w:rsidRPr="0064187A" w:rsidRDefault="00D472FB" w:rsidP="003504B4">
      <w:pPr>
        <w:pStyle w:val="Odstavecseseznamem"/>
        <w:numPr>
          <w:ilvl w:val="0"/>
          <w:numId w:val="1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Kupující činí svou objednávku zboží u prodávajícího </w:t>
      </w:r>
      <w:r w:rsidR="00122613" w:rsidRPr="0064187A">
        <w:rPr>
          <w:sz w:val="16"/>
          <w:szCs w:val="18"/>
          <w:lang w:val="cs-CZ"/>
        </w:rPr>
        <w:t xml:space="preserve">elektronickou formou, a to odesláním objednávky </w:t>
      </w:r>
      <w:r w:rsidR="00670ACB" w:rsidRPr="0064187A">
        <w:rPr>
          <w:sz w:val="16"/>
          <w:szCs w:val="18"/>
          <w:lang w:val="cs-CZ"/>
        </w:rPr>
        <w:t xml:space="preserve">z e-mailu kupujícího uvedeného v záhlaví této Smlouvy </w:t>
      </w:r>
      <w:r w:rsidR="00122613" w:rsidRPr="0064187A">
        <w:rPr>
          <w:sz w:val="16"/>
          <w:szCs w:val="18"/>
          <w:lang w:val="cs-CZ"/>
        </w:rPr>
        <w:t xml:space="preserve">obsahující specifikaci zboží </w:t>
      </w:r>
      <w:r w:rsidR="00292B3D" w:rsidRPr="0064187A">
        <w:rPr>
          <w:sz w:val="16"/>
          <w:szCs w:val="18"/>
          <w:lang w:val="cs-CZ"/>
        </w:rPr>
        <w:t xml:space="preserve">ve formě běžného e-mailu na kontaktní </w:t>
      </w:r>
      <w:r w:rsidR="00122613" w:rsidRPr="0064187A">
        <w:rPr>
          <w:sz w:val="16"/>
          <w:szCs w:val="18"/>
          <w:lang w:val="cs-CZ"/>
        </w:rPr>
        <w:t xml:space="preserve">e-mailovou adresu prodávajícího: </w:t>
      </w:r>
      <w:hyperlink r:id="rId10" w:history="1">
        <w:r w:rsidR="00122613" w:rsidRPr="0064187A">
          <w:rPr>
            <w:sz w:val="16"/>
            <w:szCs w:val="18"/>
            <w:lang w:val="cs-CZ"/>
          </w:rPr>
          <w:t>obchod@profsupport.cz</w:t>
        </w:r>
      </w:hyperlink>
      <w:r w:rsidR="00074F0A" w:rsidRPr="0064187A">
        <w:rPr>
          <w:sz w:val="16"/>
          <w:szCs w:val="18"/>
          <w:lang w:val="cs-CZ"/>
        </w:rPr>
        <w:t xml:space="preserve"> </w:t>
      </w:r>
      <w:r w:rsidR="00402A71" w:rsidRPr="0064187A">
        <w:rPr>
          <w:sz w:val="16"/>
          <w:szCs w:val="18"/>
          <w:lang w:val="cs-CZ"/>
        </w:rPr>
        <w:t xml:space="preserve">nebo na </w:t>
      </w:r>
      <w:proofErr w:type="spellStart"/>
      <w:r w:rsidR="00402A71" w:rsidRPr="0064187A">
        <w:rPr>
          <w:sz w:val="16"/>
          <w:szCs w:val="18"/>
          <w:lang w:val="cs-CZ"/>
        </w:rPr>
        <w:t>webshopu</w:t>
      </w:r>
      <w:proofErr w:type="spellEnd"/>
      <w:r w:rsidR="00402A71" w:rsidRPr="0064187A">
        <w:rPr>
          <w:sz w:val="16"/>
          <w:szCs w:val="18"/>
          <w:lang w:val="cs-CZ"/>
        </w:rPr>
        <w:t xml:space="preserve"> na adrese </w:t>
      </w:r>
      <w:hyperlink r:id="rId11" w:history="1">
        <w:r w:rsidR="00402A71" w:rsidRPr="0064187A">
          <w:rPr>
            <w:rStyle w:val="Hypertextovodkaz"/>
            <w:sz w:val="16"/>
            <w:szCs w:val="18"/>
            <w:lang w:val="cs-CZ"/>
          </w:rPr>
          <w:t>www.profsupport.cz</w:t>
        </w:r>
      </w:hyperlink>
      <w:r w:rsidR="00402A71" w:rsidRPr="0064187A">
        <w:rPr>
          <w:sz w:val="16"/>
          <w:szCs w:val="18"/>
          <w:lang w:val="cs-CZ"/>
        </w:rPr>
        <w:t xml:space="preserve"> (dále jen jako “objednávka”)</w:t>
      </w:r>
      <w:r w:rsidR="00074F0A" w:rsidRPr="0064187A">
        <w:rPr>
          <w:sz w:val="16"/>
          <w:szCs w:val="18"/>
          <w:lang w:val="cs-CZ"/>
        </w:rPr>
        <w:t>.</w:t>
      </w:r>
      <w:r w:rsidR="00EB6331" w:rsidRPr="0064187A">
        <w:rPr>
          <w:sz w:val="16"/>
          <w:szCs w:val="18"/>
          <w:lang w:val="cs-CZ"/>
        </w:rPr>
        <w:t xml:space="preserve"> Objednávka obsahuje nejméně údaje objednávaného zboží, množství a cenu, to vše dle ceníku prodávajícího</w:t>
      </w:r>
      <w:r w:rsidR="00402A71" w:rsidRPr="0064187A">
        <w:rPr>
          <w:sz w:val="16"/>
          <w:szCs w:val="18"/>
          <w:lang w:val="cs-CZ"/>
        </w:rPr>
        <w:t>.</w:t>
      </w:r>
      <w:r w:rsidR="00EB6331" w:rsidRPr="0064187A">
        <w:rPr>
          <w:sz w:val="16"/>
          <w:szCs w:val="18"/>
          <w:lang w:val="cs-CZ"/>
        </w:rPr>
        <w:t xml:space="preserve"> </w:t>
      </w:r>
    </w:p>
    <w:p w14:paraId="6023107C" w14:textId="77777777" w:rsidR="00C17E4B" w:rsidRPr="0064187A" w:rsidRDefault="00C17E4B" w:rsidP="003504B4">
      <w:pPr>
        <w:pStyle w:val="Odstavecseseznamem"/>
        <w:numPr>
          <w:ilvl w:val="0"/>
          <w:numId w:val="1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Za kupujícího mohou učinit objednávku zboží u prodávajícího výše uvedeným způsobem dle této Smlouvy pouze osoby, které jsou kupujícím uvedeny jako osoby oprávněné k</w:t>
      </w:r>
      <w:r w:rsidR="006C6701" w:rsidRPr="0064187A">
        <w:rPr>
          <w:sz w:val="16"/>
          <w:szCs w:val="18"/>
          <w:lang w:val="cs-CZ"/>
        </w:rPr>
        <w:t xml:space="preserve"> provádění</w:t>
      </w:r>
      <w:r w:rsidRPr="0064187A">
        <w:rPr>
          <w:sz w:val="16"/>
          <w:szCs w:val="18"/>
          <w:lang w:val="cs-CZ"/>
        </w:rPr>
        <w:t> </w:t>
      </w:r>
      <w:r w:rsidR="006C6701" w:rsidRPr="0064187A">
        <w:rPr>
          <w:sz w:val="16"/>
          <w:szCs w:val="18"/>
          <w:lang w:val="cs-CZ"/>
        </w:rPr>
        <w:t>objednávek</w:t>
      </w:r>
      <w:r w:rsidRPr="0064187A">
        <w:rPr>
          <w:sz w:val="16"/>
          <w:szCs w:val="18"/>
          <w:lang w:val="cs-CZ"/>
        </w:rPr>
        <w:t xml:space="preserve"> v rámci dokumentu nazvaném jako „Specifikace údajů potřebných pro závoz a fakturaci zboží“ tvořící přílohu č. 1 k této Smlouvě (dále jen jako „Příloha č. 1“).</w:t>
      </w:r>
    </w:p>
    <w:p w14:paraId="3C3C4E06" w14:textId="77777777" w:rsidR="001138C1" w:rsidRPr="0064187A" w:rsidRDefault="001138C1" w:rsidP="003504B4">
      <w:pPr>
        <w:pStyle w:val="Odstavecseseznamem"/>
        <w:numPr>
          <w:ilvl w:val="0"/>
          <w:numId w:val="1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Prodávající je povinen se vyjádřit k objednávce kupujícího ve lhůtě nejpozději do </w:t>
      </w:r>
      <w:r w:rsidR="003414D9" w:rsidRPr="0064187A">
        <w:rPr>
          <w:sz w:val="16"/>
          <w:szCs w:val="18"/>
          <w:lang w:val="cs-CZ"/>
        </w:rPr>
        <w:t>tří (</w:t>
      </w:r>
      <w:r w:rsidRPr="0064187A">
        <w:rPr>
          <w:sz w:val="16"/>
          <w:szCs w:val="18"/>
          <w:lang w:val="cs-CZ"/>
        </w:rPr>
        <w:t>3</w:t>
      </w:r>
      <w:r w:rsidR="003414D9" w:rsidRPr="0064187A">
        <w:rPr>
          <w:sz w:val="16"/>
          <w:szCs w:val="18"/>
          <w:lang w:val="cs-CZ"/>
        </w:rPr>
        <w:t>)</w:t>
      </w:r>
      <w:r w:rsidRPr="0064187A">
        <w:rPr>
          <w:sz w:val="16"/>
          <w:szCs w:val="18"/>
          <w:lang w:val="cs-CZ"/>
        </w:rPr>
        <w:t xml:space="preserve"> pracovních dnů ode dne, ve kterém obdržel objednávku, přičemž prodávající </w:t>
      </w:r>
      <w:r w:rsidR="00A133AB" w:rsidRPr="0064187A">
        <w:rPr>
          <w:sz w:val="16"/>
          <w:szCs w:val="18"/>
          <w:lang w:val="cs-CZ"/>
        </w:rPr>
        <w:t xml:space="preserve">v této lhůtě </w:t>
      </w:r>
      <w:r w:rsidRPr="0064187A">
        <w:rPr>
          <w:sz w:val="16"/>
          <w:szCs w:val="18"/>
          <w:lang w:val="cs-CZ"/>
        </w:rPr>
        <w:t>o</w:t>
      </w:r>
      <w:r w:rsidR="003414D9" w:rsidRPr="0064187A">
        <w:rPr>
          <w:sz w:val="16"/>
          <w:szCs w:val="18"/>
          <w:lang w:val="cs-CZ"/>
        </w:rPr>
        <w:t>bjednávku potvrdí, navrhne změny či připomínky k předložené objed</w:t>
      </w:r>
      <w:r w:rsidR="008A4943" w:rsidRPr="0064187A">
        <w:rPr>
          <w:sz w:val="16"/>
          <w:szCs w:val="18"/>
          <w:lang w:val="cs-CZ"/>
        </w:rPr>
        <w:t xml:space="preserve">návce, anebo objednávku odmítne, a to z různých důvodů. </w:t>
      </w:r>
    </w:p>
    <w:p w14:paraId="57AF8CDD" w14:textId="77777777" w:rsidR="00402A71" w:rsidRPr="0064187A" w:rsidRDefault="00D4744A" w:rsidP="003504B4">
      <w:pPr>
        <w:pStyle w:val="Odstavecseseznamem"/>
        <w:numPr>
          <w:ilvl w:val="0"/>
          <w:numId w:val="1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Příslušná dílčí kupní smlouva</w:t>
      </w:r>
      <w:r w:rsidR="00074F0A" w:rsidRPr="0064187A">
        <w:rPr>
          <w:sz w:val="16"/>
          <w:szCs w:val="18"/>
          <w:lang w:val="cs-CZ"/>
        </w:rPr>
        <w:t xml:space="preserve"> </w:t>
      </w:r>
      <w:r w:rsidRPr="0064187A">
        <w:rPr>
          <w:sz w:val="16"/>
          <w:szCs w:val="18"/>
          <w:lang w:val="cs-CZ"/>
        </w:rPr>
        <w:t>ke kupujícímu objednanému zboží je uzavře</w:t>
      </w:r>
      <w:r w:rsidR="007B24A2" w:rsidRPr="0064187A">
        <w:rPr>
          <w:sz w:val="16"/>
          <w:szCs w:val="18"/>
          <w:lang w:val="cs-CZ"/>
        </w:rPr>
        <w:t>na v okamžiku</w:t>
      </w:r>
      <w:r w:rsidRPr="0064187A">
        <w:rPr>
          <w:sz w:val="16"/>
          <w:szCs w:val="18"/>
          <w:lang w:val="cs-CZ"/>
        </w:rPr>
        <w:t>,</w:t>
      </w:r>
      <w:r w:rsidR="007B24A2" w:rsidRPr="0064187A">
        <w:rPr>
          <w:sz w:val="16"/>
          <w:szCs w:val="18"/>
          <w:lang w:val="cs-CZ"/>
        </w:rPr>
        <w:t xml:space="preserve"> kdy </w:t>
      </w:r>
      <w:r w:rsidR="00D312EA" w:rsidRPr="0064187A">
        <w:rPr>
          <w:sz w:val="16"/>
          <w:szCs w:val="18"/>
          <w:lang w:val="cs-CZ"/>
        </w:rPr>
        <w:t xml:space="preserve">je </w:t>
      </w:r>
      <w:r w:rsidR="007B24A2" w:rsidRPr="0064187A">
        <w:rPr>
          <w:sz w:val="16"/>
          <w:szCs w:val="18"/>
          <w:lang w:val="cs-CZ"/>
        </w:rPr>
        <w:t>kupující</w:t>
      </w:r>
      <w:r w:rsidR="00D312EA" w:rsidRPr="0064187A">
        <w:rPr>
          <w:sz w:val="16"/>
          <w:szCs w:val="18"/>
          <w:lang w:val="cs-CZ"/>
        </w:rPr>
        <w:t xml:space="preserve">mu doručeno </w:t>
      </w:r>
      <w:r w:rsidR="003F7F41" w:rsidRPr="0064187A">
        <w:rPr>
          <w:sz w:val="16"/>
          <w:szCs w:val="18"/>
          <w:lang w:val="cs-CZ"/>
        </w:rPr>
        <w:t xml:space="preserve">výslovné </w:t>
      </w:r>
      <w:r w:rsidR="00D312EA" w:rsidRPr="0064187A">
        <w:rPr>
          <w:sz w:val="16"/>
          <w:szCs w:val="18"/>
          <w:lang w:val="cs-CZ"/>
        </w:rPr>
        <w:t>potvrzení objednávky</w:t>
      </w:r>
      <w:r w:rsidR="00356A00" w:rsidRPr="0064187A">
        <w:rPr>
          <w:sz w:val="16"/>
          <w:szCs w:val="18"/>
          <w:lang w:val="cs-CZ"/>
        </w:rPr>
        <w:t xml:space="preserve"> prodávajícím, kdy tímto potvrzením se rozumí </w:t>
      </w:r>
      <w:r w:rsidR="00D312EA" w:rsidRPr="0064187A">
        <w:rPr>
          <w:sz w:val="16"/>
          <w:szCs w:val="18"/>
          <w:lang w:val="cs-CZ"/>
        </w:rPr>
        <w:t>běžná emailová zpráva nazvaná jako „Potvrzení objednávky“</w:t>
      </w:r>
      <w:r w:rsidR="00356A00" w:rsidRPr="0064187A">
        <w:rPr>
          <w:sz w:val="16"/>
          <w:szCs w:val="18"/>
          <w:lang w:val="cs-CZ"/>
        </w:rPr>
        <w:t xml:space="preserve">, kterou odešle prodávající kupujícímu. </w:t>
      </w:r>
      <w:r w:rsidR="002E6876" w:rsidRPr="0064187A">
        <w:rPr>
          <w:sz w:val="16"/>
          <w:szCs w:val="18"/>
          <w:lang w:val="cs-CZ"/>
        </w:rPr>
        <w:t xml:space="preserve">Příslušná dílčí kupní smlouva není uzavřena v případě, že na objednávku kupujícího není </w:t>
      </w:r>
      <w:r w:rsidR="00356A00" w:rsidRPr="0064187A">
        <w:rPr>
          <w:sz w:val="16"/>
          <w:szCs w:val="18"/>
          <w:lang w:val="cs-CZ"/>
        </w:rPr>
        <w:t xml:space="preserve">ze strany prodávajícího </w:t>
      </w:r>
      <w:r w:rsidR="002E6876" w:rsidRPr="0064187A">
        <w:rPr>
          <w:sz w:val="16"/>
          <w:szCs w:val="18"/>
          <w:lang w:val="cs-CZ"/>
        </w:rPr>
        <w:t xml:space="preserve">reagováno a pokud se tak nestane ani do </w:t>
      </w:r>
      <w:r w:rsidR="000A6AB2" w:rsidRPr="0064187A">
        <w:rPr>
          <w:sz w:val="16"/>
          <w:szCs w:val="18"/>
          <w:lang w:val="cs-CZ"/>
        </w:rPr>
        <w:t>tří</w:t>
      </w:r>
      <w:r w:rsidR="002E6876" w:rsidRPr="0064187A">
        <w:rPr>
          <w:sz w:val="16"/>
          <w:szCs w:val="18"/>
          <w:lang w:val="cs-CZ"/>
        </w:rPr>
        <w:t xml:space="preserve"> (</w:t>
      </w:r>
      <w:r w:rsidR="000A6AB2" w:rsidRPr="0064187A">
        <w:rPr>
          <w:sz w:val="16"/>
          <w:szCs w:val="18"/>
          <w:lang w:val="cs-CZ"/>
        </w:rPr>
        <w:t>3</w:t>
      </w:r>
      <w:r w:rsidR="002E6876" w:rsidRPr="0064187A">
        <w:rPr>
          <w:sz w:val="16"/>
          <w:szCs w:val="18"/>
          <w:lang w:val="cs-CZ"/>
        </w:rPr>
        <w:t>) pracovních dnů ode dne doručení objednávky prodávajícímu, pak se objednávka považuje za zaniklou.</w:t>
      </w:r>
    </w:p>
    <w:p w14:paraId="27CC1712" w14:textId="50ABBAD1" w:rsidR="003F7F41" w:rsidRPr="0064187A" w:rsidRDefault="003F7F41" w:rsidP="003504B4">
      <w:pPr>
        <w:pStyle w:val="Odstavecseseznamem"/>
        <w:numPr>
          <w:ilvl w:val="0"/>
          <w:numId w:val="1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Pokud prodávající navrhl změny k objednávce kupujícího, </w:t>
      </w:r>
      <w:r w:rsidR="00A133AB" w:rsidRPr="0064187A">
        <w:rPr>
          <w:sz w:val="16"/>
          <w:szCs w:val="18"/>
          <w:lang w:val="cs-CZ"/>
        </w:rPr>
        <w:t>které mění podmínky objednávky</w:t>
      </w:r>
      <w:r w:rsidRPr="0064187A">
        <w:rPr>
          <w:sz w:val="16"/>
          <w:szCs w:val="18"/>
          <w:lang w:val="cs-CZ"/>
        </w:rPr>
        <w:t xml:space="preserve">, pak je návrhem těchto změn vázán po dobu </w:t>
      </w:r>
      <w:r w:rsidR="000A6AB2" w:rsidRPr="0064187A">
        <w:rPr>
          <w:sz w:val="16"/>
          <w:szCs w:val="18"/>
          <w:lang w:val="cs-CZ"/>
        </w:rPr>
        <w:t>tří (3)</w:t>
      </w:r>
      <w:r w:rsidRPr="0064187A">
        <w:rPr>
          <w:sz w:val="16"/>
          <w:szCs w:val="18"/>
          <w:lang w:val="cs-CZ"/>
        </w:rPr>
        <w:t xml:space="preserve"> pracovních dnů ode dne odeslání písemného návrhu změn objednávky kupujícímu, pokud v předmětném návrhu změn prodávající neurčí lhůtu jinou. Pokud bude ve lhůtě dle předchozí věty tohoto odstavce doručeno prodávajícímu potvrzení (akceptace) kupujícího ohledně změn navržených prodávajícím, dochází tímto okamžikem k uzavření dílčí kupní smlouvy. </w:t>
      </w:r>
    </w:p>
    <w:p w14:paraId="20AEF5B6" w14:textId="7BEC373E" w:rsidR="006B0D66" w:rsidRPr="0064187A" w:rsidRDefault="006B0D66" w:rsidP="00402A71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Kupní cena zb</w:t>
      </w:r>
      <w:r w:rsidR="00C52DD9" w:rsidRPr="0064187A">
        <w:rPr>
          <w:b/>
          <w:sz w:val="16"/>
          <w:szCs w:val="18"/>
          <w:lang w:val="cs-CZ"/>
        </w:rPr>
        <w:t>oží, platební podmínky</w:t>
      </w:r>
    </w:p>
    <w:p w14:paraId="7314FD10" w14:textId="77777777" w:rsidR="006B0D66" w:rsidRPr="0064187A" w:rsidRDefault="006B0D66" w:rsidP="003504B4">
      <w:pPr>
        <w:pStyle w:val="Odstavecseseznamem"/>
        <w:numPr>
          <w:ilvl w:val="0"/>
          <w:numId w:val="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Veškeré ceny zboží prodávajícího jsou stanoveny v rámci ceníku platného v době doručení objednávky </w:t>
      </w:r>
      <w:r w:rsidR="00A35F4C" w:rsidRPr="0064187A">
        <w:rPr>
          <w:sz w:val="16"/>
          <w:szCs w:val="18"/>
          <w:lang w:val="cs-CZ"/>
        </w:rPr>
        <w:t xml:space="preserve">kupujícího </w:t>
      </w:r>
      <w:r w:rsidRPr="0064187A">
        <w:rPr>
          <w:sz w:val="16"/>
          <w:szCs w:val="18"/>
          <w:lang w:val="cs-CZ"/>
        </w:rPr>
        <w:t xml:space="preserve">prodávajícímu. Kupující prohlašuje, že byl seznámen s platným ceníkem zboží, a to nejpozději v okamžiku vyhotovení objednávky, a to v potřebném </w:t>
      </w:r>
      <w:r w:rsidR="00671E39" w:rsidRPr="0064187A">
        <w:rPr>
          <w:sz w:val="16"/>
          <w:szCs w:val="18"/>
          <w:lang w:val="cs-CZ"/>
        </w:rPr>
        <w:t>rozsahu, a výši cen</w:t>
      </w:r>
      <w:r w:rsidRPr="0064187A">
        <w:rPr>
          <w:sz w:val="16"/>
          <w:szCs w:val="18"/>
          <w:lang w:val="cs-CZ"/>
        </w:rPr>
        <w:t xml:space="preserve"> tak tímto akceptuje.</w:t>
      </w:r>
    </w:p>
    <w:p w14:paraId="073D46A0" w14:textId="77777777" w:rsidR="007046B7" w:rsidRPr="0064187A" w:rsidRDefault="006B0D66" w:rsidP="003504B4">
      <w:pPr>
        <w:pStyle w:val="Odstavecseseznamem"/>
        <w:numPr>
          <w:ilvl w:val="0"/>
          <w:numId w:val="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Na konečnou cenu objednaného zboží kupujícím mohou mít vliv speciálně sjednané podmínky mezi prodávajícím a kupujícím.</w:t>
      </w:r>
    </w:p>
    <w:p w14:paraId="54CB2CAF" w14:textId="77777777" w:rsidR="00C17E4B" w:rsidRPr="0064187A" w:rsidRDefault="006B0D66" w:rsidP="003504B4">
      <w:pPr>
        <w:pStyle w:val="Odstavecseseznamem"/>
        <w:numPr>
          <w:ilvl w:val="0"/>
          <w:numId w:val="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Prodávající je oprávněn po celou dobu trvání této Smlouvy </w:t>
      </w:r>
      <w:r w:rsidR="00703FB7" w:rsidRPr="0064187A">
        <w:rPr>
          <w:sz w:val="16"/>
          <w:szCs w:val="18"/>
          <w:lang w:val="cs-CZ"/>
        </w:rPr>
        <w:t xml:space="preserve">jednostranně </w:t>
      </w:r>
      <w:r w:rsidRPr="0064187A">
        <w:rPr>
          <w:sz w:val="16"/>
          <w:szCs w:val="18"/>
          <w:lang w:val="cs-CZ"/>
        </w:rPr>
        <w:t xml:space="preserve">měnit ceník zboží s tím, že </w:t>
      </w:r>
      <w:r w:rsidR="00EB6331" w:rsidRPr="0064187A">
        <w:rPr>
          <w:sz w:val="16"/>
          <w:szCs w:val="18"/>
          <w:lang w:val="cs-CZ"/>
        </w:rPr>
        <w:t>je povinen umožnit</w:t>
      </w:r>
      <w:r w:rsidRPr="0064187A">
        <w:rPr>
          <w:sz w:val="16"/>
          <w:szCs w:val="18"/>
          <w:lang w:val="cs-CZ"/>
        </w:rPr>
        <w:t xml:space="preserve"> kupujícímu</w:t>
      </w:r>
      <w:r w:rsidR="00EB6331" w:rsidRPr="0064187A">
        <w:rPr>
          <w:sz w:val="16"/>
          <w:szCs w:val="18"/>
          <w:lang w:val="cs-CZ"/>
        </w:rPr>
        <w:t xml:space="preserve"> seznámit se vždy s novou podobou ceníku předtím, než tento učiní objednávku</w:t>
      </w:r>
      <w:r w:rsidRPr="0064187A">
        <w:rPr>
          <w:sz w:val="16"/>
          <w:szCs w:val="18"/>
          <w:lang w:val="cs-CZ"/>
        </w:rPr>
        <w:t xml:space="preserve">. </w:t>
      </w:r>
      <w:r w:rsidR="00C52DD9" w:rsidRPr="0064187A">
        <w:rPr>
          <w:sz w:val="16"/>
          <w:szCs w:val="18"/>
          <w:lang w:val="cs-CZ"/>
        </w:rPr>
        <w:t>Veškeré objednávky kupujícího doručené prodávajícímu po oznámení nového ceníku zboží kupujícímu, se budou řídit novým ceníkem zboží.</w:t>
      </w:r>
    </w:p>
    <w:p w14:paraId="117E1722" w14:textId="77777777" w:rsidR="006B0D66" w:rsidRPr="0064187A" w:rsidRDefault="00C17E4B" w:rsidP="003504B4">
      <w:pPr>
        <w:pStyle w:val="Odstavecseseznamem"/>
        <w:numPr>
          <w:ilvl w:val="0"/>
          <w:numId w:val="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Kupující souhlasí s tím, aby prodávající vystavoval faktury v elektronické podobě a tyto mu zasílal na jeho e-mailovou adresu určenou pro komunikaci Smluvních stran specifikovanou v rámci Přílohy č. 1. V rámci této Přílohy č. 1 jsou Smluvními stranami specifikovány také fakturační údaje ve vztahu ke kupujícímu. </w:t>
      </w:r>
    </w:p>
    <w:p w14:paraId="2D4A39DC" w14:textId="77777777" w:rsidR="00181805" w:rsidRPr="0064187A" w:rsidRDefault="00C52DD9" w:rsidP="003504B4">
      <w:pPr>
        <w:pStyle w:val="Odstavecseseznamem"/>
        <w:numPr>
          <w:ilvl w:val="0"/>
          <w:numId w:val="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Kupující se zavazuje uhradit kupní cenu řádně a včas, tj. platba bude připsána na účet prodávajícího nejpozději v den, který je uveden na faktuře jako den splatnosti. Doba splatnosti je sjednána s každým kupujícím individuálně a je uvedena na faktuře.</w:t>
      </w:r>
    </w:p>
    <w:p w14:paraId="139A83D7" w14:textId="77777777" w:rsidR="00C52DD9" w:rsidRPr="0064187A" w:rsidRDefault="00181805" w:rsidP="003504B4">
      <w:pPr>
        <w:pStyle w:val="Odstavecseseznamem"/>
        <w:numPr>
          <w:ilvl w:val="0"/>
          <w:numId w:val="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lastRenderedPageBreak/>
        <w:t>Nesplní-li kupující včas svou povinnost zaplatit kupní cenu za odebrané zboží, je povine</w:t>
      </w:r>
      <w:r w:rsidR="002A55C5" w:rsidRPr="0064187A">
        <w:rPr>
          <w:sz w:val="16"/>
          <w:szCs w:val="18"/>
          <w:lang w:val="cs-CZ"/>
        </w:rPr>
        <w:t>n</w:t>
      </w:r>
      <w:r w:rsidRPr="0064187A">
        <w:rPr>
          <w:sz w:val="16"/>
          <w:szCs w:val="18"/>
          <w:lang w:val="cs-CZ"/>
        </w:rPr>
        <w:t xml:space="preserve"> uhradit prodávajícímu smluvní </w:t>
      </w:r>
      <w:r w:rsidR="00EB6331" w:rsidRPr="0064187A">
        <w:rPr>
          <w:sz w:val="16"/>
          <w:szCs w:val="18"/>
          <w:lang w:val="cs-CZ"/>
        </w:rPr>
        <w:t>pokutu</w:t>
      </w:r>
      <w:r w:rsidRPr="0064187A">
        <w:rPr>
          <w:sz w:val="16"/>
          <w:szCs w:val="18"/>
          <w:lang w:val="cs-CZ"/>
        </w:rPr>
        <w:t xml:space="preserve"> ve výši </w:t>
      </w:r>
      <w:proofErr w:type="gramStart"/>
      <w:r w:rsidR="00EB6331" w:rsidRPr="0064187A">
        <w:rPr>
          <w:sz w:val="16"/>
          <w:szCs w:val="18"/>
          <w:lang w:val="cs-CZ"/>
        </w:rPr>
        <w:t>0,2</w:t>
      </w:r>
      <w:r w:rsidRPr="0064187A">
        <w:rPr>
          <w:sz w:val="16"/>
          <w:szCs w:val="18"/>
          <w:lang w:val="cs-CZ"/>
        </w:rPr>
        <w:t>%</w:t>
      </w:r>
      <w:proofErr w:type="gramEnd"/>
      <w:r w:rsidRPr="0064187A">
        <w:rPr>
          <w:sz w:val="16"/>
          <w:szCs w:val="18"/>
          <w:lang w:val="cs-CZ"/>
        </w:rPr>
        <w:t xml:space="preserve"> z dlužné částky za každý </w:t>
      </w:r>
      <w:r w:rsidR="00EB6331" w:rsidRPr="0064187A">
        <w:rPr>
          <w:sz w:val="16"/>
          <w:szCs w:val="18"/>
          <w:lang w:val="cs-CZ"/>
        </w:rPr>
        <w:t>den prodlení až do úplného splacení dluhu</w:t>
      </w:r>
      <w:r w:rsidRPr="0064187A">
        <w:rPr>
          <w:sz w:val="16"/>
          <w:szCs w:val="18"/>
          <w:lang w:val="cs-CZ"/>
        </w:rPr>
        <w:t>. Smluvní strany se dále dohodly na tom, že prodávající je v případě prodlení kupujícího s hrazením svých splatných finančních závazků oprávněn pozastavit další prodej zboží případně dodávku zboží, a to až do úplného vyr</w:t>
      </w:r>
      <w:r w:rsidR="00523E04" w:rsidRPr="0064187A">
        <w:rPr>
          <w:sz w:val="16"/>
          <w:szCs w:val="18"/>
          <w:lang w:val="cs-CZ"/>
        </w:rPr>
        <w:t xml:space="preserve">ovnání všech splatných závazků </w:t>
      </w:r>
      <w:r w:rsidR="00703FB7" w:rsidRPr="0064187A">
        <w:rPr>
          <w:sz w:val="16"/>
          <w:szCs w:val="18"/>
          <w:lang w:val="cs-CZ"/>
        </w:rPr>
        <w:t xml:space="preserve">ze strany kupujícího </w:t>
      </w:r>
      <w:r w:rsidR="00523E04" w:rsidRPr="0064187A">
        <w:rPr>
          <w:sz w:val="16"/>
          <w:szCs w:val="18"/>
          <w:lang w:val="cs-CZ"/>
        </w:rPr>
        <w:t>nebo je oprávněn trvat na podmínce, že další tři dodávky zboží budou kupujícímu prodány pouze na proforma fakturu</w:t>
      </w:r>
      <w:r w:rsidR="00EB6331" w:rsidRPr="0064187A">
        <w:rPr>
          <w:sz w:val="16"/>
          <w:szCs w:val="18"/>
          <w:lang w:val="cs-CZ"/>
        </w:rPr>
        <w:t>, tedy s plným předplacením kupní ceny předem</w:t>
      </w:r>
      <w:r w:rsidR="00523E04" w:rsidRPr="0064187A">
        <w:rPr>
          <w:sz w:val="16"/>
          <w:szCs w:val="18"/>
          <w:lang w:val="cs-CZ"/>
        </w:rPr>
        <w:t>. Pokud dojde ze strany prodávajícího k pozastavení dodávek, p</w:t>
      </w:r>
      <w:r w:rsidRPr="0064187A">
        <w:rPr>
          <w:sz w:val="16"/>
          <w:szCs w:val="18"/>
          <w:lang w:val="cs-CZ"/>
        </w:rPr>
        <w:t xml:space="preserve">o </w:t>
      </w:r>
      <w:r w:rsidR="00523E04" w:rsidRPr="0064187A">
        <w:rPr>
          <w:sz w:val="16"/>
          <w:szCs w:val="18"/>
          <w:lang w:val="cs-CZ"/>
        </w:rPr>
        <w:t xml:space="preserve">tuto </w:t>
      </w:r>
      <w:r w:rsidRPr="0064187A">
        <w:rPr>
          <w:sz w:val="16"/>
          <w:szCs w:val="18"/>
          <w:lang w:val="cs-CZ"/>
        </w:rPr>
        <w:t xml:space="preserve">dobu pozastavení dodávek se přerušují dodací lhůty těchto pozastavených dodávek, přičemž takové nedodání zboží nebude považováno za prodlení prodávajícího se splněním jeho závazku dle kterékoliv dílčí kupní smlouvy. </w:t>
      </w:r>
    </w:p>
    <w:p w14:paraId="29C09D8F" w14:textId="77777777" w:rsidR="00181805" w:rsidRPr="0064187A" w:rsidRDefault="00181805" w:rsidP="003504B4">
      <w:pPr>
        <w:pStyle w:val="Odstavecseseznamem"/>
        <w:numPr>
          <w:ilvl w:val="0"/>
          <w:numId w:val="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V případě, že bude kupující v prodlení s plněním svých finančních závazků vůči prodávajícímu delším jak třicet (30) kalendářních dnů, je prodávající oprávněn od této Smlouvy, jakož i od jednotlivých dílčích kupních smluv jednostranně odstoupit</w:t>
      </w:r>
      <w:r w:rsidR="00EB6331" w:rsidRPr="0064187A">
        <w:rPr>
          <w:sz w:val="16"/>
          <w:szCs w:val="18"/>
          <w:lang w:val="cs-CZ"/>
        </w:rPr>
        <w:t xml:space="preserve">, čímž není dotčen nárok na zaplacení </w:t>
      </w:r>
      <w:r w:rsidR="0011238B" w:rsidRPr="0064187A">
        <w:rPr>
          <w:sz w:val="16"/>
          <w:szCs w:val="18"/>
          <w:lang w:val="cs-CZ"/>
        </w:rPr>
        <w:t xml:space="preserve">smluvní </w:t>
      </w:r>
      <w:r w:rsidR="00EB6331" w:rsidRPr="0064187A">
        <w:rPr>
          <w:sz w:val="16"/>
          <w:szCs w:val="18"/>
          <w:lang w:val="cs-CZ"/>
        </w:rPr>
        <w:t>pokuty podle</w:t>
      </w:r>
      <w:r w:rsidR="00703FB7" w:rsidRPr="0064187A">
        <w:rPr>
          <w:sz w:val="16"/>
          <w:szCs w:val="18"/>
          <w:lang w:val="cs-CZ"/>
        </w:rPr>
        <w:t> předchozí</w:t>
      </w:r>
      <w:r w:rsidR="00EB6331" w:rsidRPr="0064187A">
        <w:rPr>
          <w:sz w:val="16"/>
          <w:szCs w:val="18"/>
          <w:lang w:val="cs-CZ"/>
        </w:rPr>
        <w:t>ho</w:t>
      </w:r>
      <w:r w:rsidR="00703FB7" w:rsidRPr="0064187A">
        <w:rPr>
          <w:sz w:val="16"/>
          <w:szCs w:val="18"/>
          <w:lang w:val="cs-CZ"/>
        </w:rPr>
        <w:t xml:space="preserve"> odstavc</w:t>
      </w:r>
      <w:r w:rsidR="00EB6331" w:rsidRPr="0064187A">
        <w:rPr>
          <w:sz w:val="16"/>
          <w:szCs w:val="18"/>
          <w:lang w:val="cs-CZ"/>
        </w:rPr>
        <w:t>e</w:t>
      </w:r>
      <w:r w:rsidR="00703FB7" w:rsidRPr="0064187A">
        <w:rPr>
          <w:sz w:val="16"/>
          <w:szCs w:val="18"/>
          <w:lang w:val="cs-CZ"/>
        </w:rPr>
        <w:t xml:space="preserve"> tohoto článku Smlouvy. </w:t>
      </w:r>
    </w:p>
    <w:p w14:paraId="4D13F981" w14:textId="6A64A5A2" w:rsidR="00EB6331" w:rsidRPr="0064187A" w:rsidRDefault="0011238B" w:rsidP="003504B4">
      <w:pPr>
        <w:pStyle w:val="Odstavecseseznamem"/>
        <w:numPr>
          <w:ilvl w:val="0"/>
          <w:numId w:val="7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Odstoupením od této Smlouvy případně od dílčích kupních smluv, taková smlouva zaniká s účinností ke dni doručení odstoupení</w:t>
      </w:r>
      <w:r w:rsidR="003241EB" w:rsidRPr="0064187A">
        <w:rPr>
          <w:sz w:val="16"/>
          <w:szCs w:val="18"/>
          <w:lang w:val="cs-CZ"/>
        </w:rPr>
        <w:t xml:space="preserve"> druhé smluvní straně</w:t>
      </w:r>
      <w:r w:rsidRPr="0064187A">
        <w:rPr>
          <w:sz w:val="16"/>
          <w:szCs w:val="18"/>
          <w:lang w:val="cs-CZ"/>
        </w:rPr>
        <w:t xml:space="preserve">. Tímto odstoupením zanikají všechna práva a povinnosti </w:t>
      </w:r>
      <w:r w:rsidR="003241EB" w:rsidRPr="0064187A">
        <w:rPr>
          <w:sz w:val="16"/>
          <w:szCs w:val="18"/>
          <w:lang w:val="cs-CZ"/>
        </w:rPr>
        <w:t xml:space="preserve">Smluvních </w:t>
      </w:r>
      <w:r w:rsidRPr="0064187A">
        <w:rPr>
          <w:sz w:val="16"/>
          <w:szCs w:val="18"/>
          <w:lang w:val="cs-CZ"/>
        </w:rPr>
        <w:t>stran. Toto se však netýká již prodávajícím dodaného a kupujícím nezaplaceného zboží, které je povinen kupující zaplatit včetně případných smluvních úroků z</w:t>
      </w:r>
      <w:r w:rsidR="003241EB" w:rsidRPr="0064187A">
        <w:rPr>
          <w:sz w:val="16"/>
          <w:szCs w:val="18"/>
          <w:lang w:val="cs-CZ"/>
        </w:rPr>
        <w:t xml:space="preserve"> prodlení dle této Smlouvy. </w:t>
      </w:r>
    </w:p>
    <w:p w14:paraId="52501066" w14:textId="2019C8FA" w:rsidR="00C52DD9" w:rsidRPr="0064187A" w:rsidRDefault="00A7238E" w:rsidP="00402A71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 xml:space="preserve">Doprava zboží, dodání zboží </w:t>
      </w:r>
    </w:p>
    <w:p w14:paraId="64920AF2" w14:textId="77777777" w:rsidR="008A4943" w:rsidRPr="0064187A" w:rsidRDefault="00A7238E" w:rsidP="003504B4">
      <w:pPr>
        <w:pStyle w:val="Odstavecseseznamem"/>
        <w:numPr>
          <w:ilvl w:val="0"/>
          <w:numId w:val="1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Prodávající se zavazuje dodat zboží kupujícímu v</w:t>
      </w:r>
      <w:r w:rsidR="003241EB" w:rsidRPr="0064187A">
        <w:rPr>
          <w:sz w:val="16"/>
          <w:szCs w:val="18"/>
          <w:lang w:val="cs-CZ"/>
        </w:rPr>
        <w:t>e sjednaném</w:t>
      </w:r>
      <w:r w:rsidRPr="0064187A">
        <w:rPr>
          <w:sz w:val="16"/>
          <w:szCs w:val="18"/>
          <w:lang w:val="cs-CZ"/>
        </w:rPr>
        <w:t> termínu dodání zboží</w:t>
      </w:r>
      <w:r w:rsidR="003241EB" w:rsidRPr="0064187A">
        <w:rPr>
          <w:sz w:val="16"/>
          <w:szCs w:val="18"/>
          <w:lang w:val="cs-CZ"/>
        </w:rPr>
        <w:t>, a to</w:t>
      </w:r>
      <w:r w:rsidRPr="0064187A">
        <w:rPr>
          <w:sz w:val="16"/>
          <w:szCs w:val="18"/>
          <w:lang w:val="cs-CZ"/>
        </w:rPr>
        <w:t xml:space="preserve"> nejpozději do deseti (10) pracovních dnů ode dne uzavření dílčí kupní smlouvy mezi kupujícím a prodávajícím dle čl. III. této Smlouvy. </w:t>
      </w:r>
      <w:r w:rsidR="008A4943" w:rsidRPr="0064187A">
        <w:rPr>
          <w:sz w:val="16"/>
          <w:szCs w:val="18"/>
          <w:lang w:val="cs-CZ"/>
        </w:rPr>
        <w:t>V individuálních případech může být mezi kupujícím a prodávajícím sjednán v rámci dílčí kupní smlouvy odlišný termín plnění.</w:t>
      </w:r>
    </w:p>
    <w:p w14:paraId="51BAC359" w14:textId="65879521" w:rsidR="006A78E3" w:rsidRPr="0064187A" w:rsidRDefault="008A4943" w:rsidP="003504B4">
      <w:pPr>
        <w:pStyle w:val="Odstavecseseznamem"/>
        <w:numPr>
          <w:ilvl w:val="0"/>
          <w:numId w:val="1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Zboží je dodáno jeho předáním prvnímu dopravci k přepravě, nebo dodáním zboží kupujícímu, pokud si je kupující převezme přímo. </w:t>
      </w:r>
    </w:p>
    <w:p w14:paraId="04E51A95" w14:textId="4EB28F86" w:rsidR="00C17E4B" w:rsidRPr="0064187A" w:rsidRDefault="000F4608" w:rsidP="003504B4">
      <w:pPr>
        <w:pStyle w:val="Odstavecseseznamem"/>
        <w:numPr>
          <w:ilvl w:val="0"/>
          <w:numId w:val="1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Prodávající zajišťu</w:t>
      </w:r>
      <w:r w:rsidR="003241EB" w:rsidRPr="0064187A">
        <w:rPr>
          <w:sz w:val="16"/>
          <w:szCs w:val="18"/>
          <w:lang w:val="cs-CZ"/>
        </w:rPr>
        <w:t xml:space="preserve">je dopravu zboží pro kupujícího, a to do tzv. </w:t>
      </w:r>
      <w:proofErr w:type="spellStart"/>
      <w:r w:rsidR="003241EB" w:rsidRPr="0064187A">
        <w:rPr>
          <w:sz w:val="16"/>
          <w:szCs w:val="18"/>
          <w:lang w:val="cs-CZ"/>
        </w:rPr>
        <w:t>závozových</w:t>
      </w:r>
      <w:proofErr w:type="spellEnd"/>
      <w:r w:rsidR="003241EB" w:rsidRPr="0064187A">
        <w:rPr>
          <w:sz w:val="16"/>
          <w:szCs w:val="18"/>
          <w:lang w:val="cs-CZ"/>
        </w:rPr>
        <w:t xml:space="preserve"> míst, které jsou kupujícím specifikovány v rámci Přílohy č. 1 (dále jen jako „</w:t>
      </w:r>
      <w:proofErr w:type="spellStart"/>
      <w:r w:rsidR="003241EB" w:rsidRPr="0064187A">
        <w:rPr>
          <w:b/>
          <w:i/>
          <w:sz w:val="16"/>
          <w:szCs w:val="18"/>
          <w:lang w:val="cs-CZ"/>
        </w:rPr>
        <w:t>závozová</w:t>
      </w:r>
      <w:proofErr w:type="spellEnd"/>
      <w:r w:rsidR="003241EB" w:rsidRPr="0064187A">
        <w:rPr>
          <w:b/>
          <w:i/>
          <w:sz w:val="16"/>
          <w:szCs w:val="18"/>
          <w:lang w:val="cs-CZ"/>
        </w:rPr>
        <w:t xml:space="preserve"> místa</w:t>
      </w:r>
      <w:r w:rsidR="003241EB" w:rsidRPr="0064187A">
        <w:rPr>
          <w:sz w:val="16"/>
          <w:szCs w:val="18"/>
          <w:lang w:val="cs-CZ"/>
        </w:rPr>
        <w:t xml:space="preserve">“). Prodávající hradí náklady spojené s dopravou do </w:t>
      </w:r>
      <w:proofErr w:type="spellStart"/>
      <w:r w:rsidR="003241EB" w:rsidRPr="0064187A">
        <w:rPr>
          <w:sz w:val="16"/>
          <w:szCs w:val="18"/>
          <w:lang w:val="cs-CZ"/>
        </w:rPr>
        <w:t>závozových</w:t>
      </w:r>
      <w:proofErr w:type="spellEnd"/>
      <w:r w:rsidR="003241EB" w:rsidRPr="0064187A">
        <w:rPr>
          <w:sz w:val="16"/>
          <w:szCs w:val="18"/>
          <w:lang w:val="cs-CZ"/>
        </w:rPr>
        <w:t xml:space="preserve"> míst určených kupujícím v rámci Přílohy č. 1. </w:t>
      </w:r>
    </w:p>
    <w:p w14:paraId="64397329" w14:textId="77777777" w:rsidR="000F4608" w:rsidRPr="0064187A" w:rsidRDefault="00523E04" w:rsidP="003504B4">
      <w:pPr>
        <w:pStyle w:val="Odstavecseseznamem"/>
        <w:numPr>
          <w:ilvl w:val="0"/>
          <w:numId w:val="1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Kupující je povinen seznámit prodávajícího s tím, jaké osoby jsou za kupujícího oprávněny převzít prodávajícím dodávané zboží, a to v rámci Přílohy č. 1 k této Smlouvě. </w:t>
      </w:r>
    </w:p>
    <w:p w14:paraId="0B03CC1B" w14:textId="71762ACB" w:rsidR="006A78E3" w:rsidRPr="0064187A" w:rsidRDefault="006A78E3" w:rsidP="003504B4">
      <w:pPr>
        <w:pStyle w:val="Odstavecseseznamem"/>
        <w:numPr>
          <w:ilvl w:val="0"/>
          <w:numId w:val="1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Kupující je povinen písemně potvrdit převzetí zboží v rámci dodacího listu. </w:t>
      </w:r>
      <w:r w:rsidR="008A4943" w:rsidRPr="0064187A">
        <w:rPr>
          <w:sz w:val="16"/>
          <w:szCs w:val="18"/>
          <w:lang w:val="cs-CZ"/>
        </w:rPr>
        <w:t>Při převzetí zboží od přepravce nebo od prodávajícího je kupující povinen zkontrolovat neporušenost obalů zboží a v případě jakýchkoliv závad toto nepro</w:t>
      </w:r>
      <w:r w:rsidR="00F113CB" w:rsidRPr="0064187A">
        <w:rPr>
          <w:sz w:val="16"/>
          <w:szCs w:val="18"/>
          <w:lang w:val="cs-CZ"/>
        </w:rPr>
        <w:t xml:space="preserve">dleně oznámit přepravci nebo přímo prodávajícímu. Pokud tak neučiní, prodávající nenese odpovědnost za vady co do množství, druhu a poškození zboží. Všechny eventuální </w:t>
      </w:r>
      <w:r w:rsidR="00DE5E06" w:rsidRPr="0064187A">
        <w:rPr>
          <w:sz w:val="16"/>
          <w:szCs w:val="18"/>
          <w:lang w:val="cs-CZ"/>
        </w:rPr>
        <w:t xml:space="preserve">zjevné </w:t>
      </w:r>
      <w:r w:rsidR="00F113CB" w:rsidRPr="0064187A">
        <w:rPr>
          <w:sz w:val="16"/>
          <w:szCs w:val="18"/>
          <w:lang w:val="cs-CZ"/>
        </w:rPr>
        <w:t>výhrady nebo vady zboží nebo reklamace musí být písemně zaznamenány na dodacím listě, v opačném případě na ně nebude brán zřetel.</w:t>
      </w:r>
    </w:p>
    <w:p w14:paraId="156BC231" w14:textId="751EF8EF" w:rsidR="00C17E4B" w:rsidRPr="0064187A" w:rsidRDefault="006A78E3" w:rsidP="003504B4">
      <w:pPr>
        <w:pStyle w:val="Odstavecseseznamem"/>
        <w:numPr>
          <w:ilvl w:val="0"/>
          <w:numId w:val="18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Kupující bere na vědomí a souhlasí s tím, že zboží je zabaleno v běžných baleních. </w:t>
      </w:r>
      <w:r w:rsidR="00F113CB" w:rsidRPr="0064187A">
        <w:rPr>
          <w:sz w:val="16"/>
          <w:szCs w:val="18"/>
          <w:lang w:val="cs-CZ"/>
        </w:rPr>
        <w:t xml:space="preserve"> </w:t>
      </w:r>
    </w:p>
    <w:p w14:paraId="00CC4B1A" w14:textId="27736C44" w:rsidR="006267CD" w:rsidRPr="0064187A" w:rsidRDefault="006267CD" w:rsidP="00DE5E06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Reklamace</w:t>
      </w:r>
    </w:p>
    <w:p w14:paraId="3869E4BC" w14:textId="77777777" w:rsidR="006267CD" w:rsidRPr="0064187A" w:rsidRDefault="006267CD" w:rsidP="003504B4">
      <w:pPr>
        <w:pStyle w:val="Odstavecseseznamem"/>
        <w:numPr>
          <w:ilvl w:val="0"/>
          <w:numId w:val="15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Pro uplatnění práv kupujícího z vad zboží dodaného prodávajícím je třeba postupovat dle platného reklamačního řádu prodávajícího.</w:t>
      </w:r>
    </w:p>
    <w:p w14:paraId="237517F1" w14:textId="707B5531" w:rsidR="00D53E6F" w:rsidRPr="0064187A" w:rsidRDefault="006267CD" w:rsidP="003504B4">
      <w:pPr>
        <w:pStyle w:val="Odstavecseseznamem"/>
        <w:numPr>
          <w:ilvl w:val="0"/>
          <w:numId w:val="15"/>
        </w:numPr>
        <w:ind w:left="284" w:hanging="284"/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Prodávající přejímá záruku za jakost zboží v rozsahu doby spotřeby tohoto zboží vyznačené na jeho obalech.  </w:t>
      </w:r>
    </w:p>
    <w:p w14:paraId="553CCA83" w14:textId="4568D7D6" w:rsidR="00523E04" w:rsidRPr="0064187A" w:rsidRDefault="00523E04" w:rsidP="00DE5E06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Doba trvání Smlouvy, ukončení Smlouvy</w:t>
      </w:r>
    </w:p>
    <w:p w14:paraId="1831F02A" w14:textId="77777777" w:rsidR="00523E04" w:rsidRPr="0064187A" w:rsidRDefault="00523E04" w:rsidP="003504B4">
      <w:pPr>
        <w:pStyle w:val="Odstavecseseznamem"/>
        <w:numPr>
          <w:ilvl w:val="0"/>
          <w:numId w:val="10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Tato Smlouva nabývá platnosti a účinností dnem jejího podpisu oběma Smluvními stranami. </w:t>
      </w:r>
    </w:p>
    <w:p w14:paraId="314B06E8" w14:textId="6D00A13F" w:rsidR="006267CD" w:rsidRPr="0064187A" w:rsidRDefault="00523E04" w:rsidP="003504B4">
      <w:pPr>
        <w:pStyle w:val="Odstavecseseznamem"/>
        <w:numPr>
          <w:ilvl w:val="0"/>
          <w:numId w:val="10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Tato Smlouva se uzavírá </w:t>
      </w:r>
      <w:r w:rsidRPr="0064187A">
        <w:rPr>
          <w:b/>
          <w:sz w:val="16"/>
          <w:szCs w:val="18"/>
          <w:lang w:val="cs-CZ"/>
        </w:rPr>
        <w:t>na dobu neurčitou</w:t>
      </w:r>
      <w:r w:rsidRPr="0064187A">
        <w:rPr>
          <w:sz w:val="16"/>
          <w:szCs w:val="18"/>
          <w:lang w:val="cs-CZ"/>
        </w:rPr>
        <w:t>. Tuto Smlouvou lze vypovědět i bez udání důvodu s tím</w:t>
      </w:r>
      <w:r w:rsidR="007549C9" w:rsidRPr="0064187A">
        <w:rPr>
          <w:sz w:val="16"/>
          <w:szCs w:val="18"/>
          <w:lang w:val="cs-CZ"/>
        </w:rPr>
        <w:t xml:space="preserve">, že výpovědní lhůta činí </w:t>
      </w:r>
      <w:r w:rsidRPr="0064187A">
        <w:rPr>
          <w:sz w:val="16"/>
          <w:szCs w:val="18"/>
          <w:lang w:val="cs-CZ"/>
        </w:rPr>
        <w:t>čtrnáct (14) kalendářních dnů, a počíná běžet od</w:t>
      </w:r>
      <w:r w:rsidR="007549C9" w:rsidRPr="0064187A">
        <w:rPr>
          <w:sz w:val="16"/>
          <w:szCs w:val="18"/>
          <w:lang w:val="cs-CZ"/>
        </w:rPr>
        <w:t>e</w:t>
      </w:r>
      <w:r w:rsidRPr="0064187A">
        <w:rPr>
          <w:sz w:val="16"/>
          <w:szCs w:val="18"/>
          <w:lang w:val="cs-CZ"/>
        </w:rPr>
        <w:t xml:space="preserve"> dne, který bezprostředně následuje po </w:t>
      </w:r>
      <w:r w:rsidR="007549C9" w:rsidRPr="0064187A">
        <w:rPr>
          <w:sz w:val="16"/>
          <w:szCs w:val="18"/>
          <w:lang w:val="cs-CZ"/>
        </w:rPr>
        <w:t>dni</w:t>
      </w:r>
      <w:r w:rsidRPr="0064187A">
        <w:rPr>
          <w:sz w:val="16"/>
          <w:szCs w:val="18"/>
          <w:lang w:val="cs-CZ"/>
        </w:rPr>
        <w:t xml:space="preserve">, v kterém byla jedné ze Smluvních stran doručena výpověď této Smlouvy. </w:t>
      </w:r>
    </w:p>
    <w:p w14:paraId="04C41274" w14:textId="511666FE" w:rsidR="00E775BD" w:rsidRPr="0064187A" w:rsidRDefault="00E775BD" w:rsidP="00DE5E06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Jurisdikce a volba práva</w:t>
      </w:r>
    </w:p>
    <w:p w14:paraId="7104AE99" w14:textId="77777777" w:rsidR="0003345F" w:rsidRPr="0064187A" w:rsidRDefault="0003345F" w:rsidP="003504B4">
      <w:pPr>
        <w:pStyle w:val="Odstavecseseznamem"/>
        <w:numPr>
          <w:ilvl w:val="0"/>
          <w:numId w:val="1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Právní vztahy založené touto Smlouvou a dílčími kupními smlouvami, a to včetně nároků Smluvních stran vyplývajících z těchto právních vztahů, se řídí českým právním řádem.</w:t>
      </w:r>
    </w:p>
    <w:p w14:paraId="50324036" w14:textId="3DA3035C" w:rsidR="00523E04" w:rsidRPr="0064187A" w:rsidRDefault="0003345F" w:rsidP="003504B4">
      <w:pPr>
        <w:pStyle w:val="Odstavecseseznamem"/>
        <w:numPr>
          <w:ilvl w:val="0"/>
          <w:numId w:val="1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Smluvní strany se dohodly, že všechny spory z této Smlouvy, jakož i spory, které mezi Smluvními stranami vzniknou z právních vztahů vzniklých na základě této Smlouvy nebo dle uzavřených dílčích kupních smluv, včetně sporů o platnost, výklad a zánik této Smlouvy a kterékoliv z dílčích kupních smluv, budou rozhodovány obecnými soudy České republiky, přičemž místní příslušnost soudu </w:t>
      </w:r>
      <w:r w:rsidR="000A6AB2" w:rsidRPr="0064187A">
        <w:rPr>
          <w:sz w:val="16"/>
          <w:szCs w:val="18"/>
          <w:lang w:val="cs-CZ"/>
        </w:rPr>
        <w:t>je</w:t>
      </w:r>
      <w:r w:rsidRPr="0064187A">
        <w:rPr>
          <w:sz w:val="16"/>
          <w:szCs w:val="18"/>
          <w:lang w:val="cs-CZ"/>
        </w:rPr>
        <w:t xml:space="preserve"> urč</w:t>
      </w:r>
      <w:r w:rsidR="000A6AB2" w:rsidRPr="0064187A">
        <w:rPr>
          <w:sz w:val="16"/>
          <w:szCs w:val="18"/>
          <w:lang w:val="cs-CZ"/>
        </w:rPr>
        <w:t>ena</w:t>
      </w:r>
      <w:r w:rsidRPr="0064187A">
        <w:rPr>
          <w:sz w:val="16"/>
          <w:szCs w:val="18"/>
          <w:lang w:val="cs-CZ"/>
        </w:rPr>
        <w:t xml:space="preserve"> dle sídla </w:t>
      </w:r>
      <w:r w:rsidR="000A6AB2" w:rsidRPr="0064187A">
        <w:rPr>
          <w:sz w:val="16"/>
          <w:szCs w:val="18"/>
          <w:lang w:val="cs-CZ"/>
        </w:rPr>
        <w:t>prodáva</w:t>
      </w:r>
      <w:r w:rsidR="00345D1B" w:rsidRPr="0064187A">
        <w:rPr>
          <w:sz w:val="16"/>
          <w:szCs w:val="18"/>
          <w:lang w:val="cs-CZ"/>
        </w:rPr>
        <w:t>jícího.</w:t>
      </w:r>
      <w:r w:rsidRPr="0064187A">
        <w:rPr>
          <w:sz w:val="16"/>
          <w:szCs w:val="18"/>
          <w:lang w:val="cs-CZ"/>
        </w:rPr>
        <w:t xml:space="preserve"> </w:t>
      </w:r>
    </w:p>
    <w:p w14:paraId="15BCA7FA" w14:textId="3F0D793D" w:rsidR="00523E04" w:rsidRPr="0064187A" w:rsidRDefault="00523E04" w:rsidP="00DE5E06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b/>
          <w:sz w:val="16"/>
          <w:szCs w:val="18"/>
          <w:lang w:val="cs-CZ"/>
        </w:rPr>
      </w:pPr>
      <w:r w:rsidRPr="0064187A">
        <w:rPr>
          <w:b/>
          <w:sz w:val="16"/>
          <w:szCs w:val="18"/>
          <w:lang w:val="cs-CZ"/>
        </w:rPr>
        <w:t>Závěrečná ustanovení</w:t>
      </w:r>
    </w:p>
    <w:p w14:paraId="0184CC4F" w14:textId="77777777" w:rsidR="006C6701" w:rsidRPr="0064187A" w:rsidRDefault="006C6701" w:rsidP="003504B4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Nedílnou součástí této Smlouvy jsou tyto její přílohy:</w:t>
      </w:r>
    </w:p>
    <w:p w14:paraId="5E9EA5CC" w14:textId="77777777" w:rsidR="006C6701" w:rsidRPr="003504B4" w:rsidRDefault="006C6701" w:rsidP="003504B4">
      <w:pPr>
        <w:overflowPunct/>
        <w:autoSpaceDE/>
        <w:autoSpaceDN/>
        <w:adjustRightInd/>
        <w:ind w:left="720"/>
        <w:jc w:val="both"/>
        <w:textAlignment w:val="auto"/>
        <w:rPr>
          <w:sz w:val="16"/>
          <w:szCs w:val="18"/>
          <w:lang w:val="cs-CZ"/>
        </w:rPr>
      </w:pPr>
      <w:r w:rsidRPr="003504B4">
        <w:rPr>
          <w:b/>
          <w:sz w:val="16"/>
          <w:szCs w:val="18"/>
          <w:lang w:val="cs-CZ"/>
        </w:rPr>
        <w:t>Příloha č. 1</w:t>
      </w:r>
      <w:r w:rsidRPr="003504B4">
        <w:rPr>
          <w:i/>
          <w:sz w:val="16"/>
          <w:szCs w:val="18"/>
          <w:lang w:val="cs-CZ"/>
        </w:rPr>
        <w:t>: Specifikace údajů potřebných pro závoz a fakturaci zboží.</w:t>
      </w:r>
    </w:p>
    <w:p w14:paraId="074B7EAC" w14:textId="77777777" w:rsidR="00523E04" w:rsidRPr="0064187A" w:rsidRDefault="00523E04" w:rsidP="003504B4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Tato Smlouva nabývá účinnosti dnem jejího podpisu oběma Smluvními stranami; tato </w:t>
      </w:r>
      <w:r w:rsidR="00B670AC" w:rsidRPr="0064187A">
        <w:rPr>
          <w:sz w:val="16"/>
          <w:szCs w:val="18"/>
          <w:lang w:val="cs-CZ"/>
        </w:rPr>
        <w:t>Smlouva se použije na veškeré d</w:t>
      </w:r>
      <w:r w:rsidRPr="0064187A">
        <w:rPr>
          <w:sz w:val="16"/>
          <w:szCs w:val="18"/>
          <w:lang w:val="cs-CZ"/>
        </w:rPr>
        <w:t xml:space="preserve">ílčí </w:t>
      </w:r>
      <w:r w:rsidR="00B670AC" w:rsidRPr="0064187A">
        <w:rPr>
          <w:sz w:val="16"/>
          <w:szCs w:val="18"/>
          <w:lang w:val="cs-CZ"/>
        </w:rPr>
        <w:t>kupní smlouvy</w:t>
      </w:r>
      <w:r w:rsidRPr="0064187A">
        <w:rPr>
          <w:sz w:val="16"/>
          <w:szCs w:val="18"/>
          <w:lang w:val="cs-CZ"/>
        </w:rPr>
        <w:t>, které budou uzavřeny za doby trvání této Smlouvy.</w:t>
      </w:r>
    </w:p>
    <w:p w14:paraId="76473937" w14:textId="77777777" w:rsidR="00523E04" w:rsidRPr="0064187A" w:rsidRDefault="00523E04" w:rsidP="003504B4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Tato Smlouva je sepsána ve dvou vyhotoveních, s platností originálu každého z nich, kdy každá ze Smluvních stran obdrží po jednom vyhotovení.</w:t>
      </w:r>
    </w:p>
    <w:p w14:paraId="256ADDAE" w14:textId="77777777" w:rsidR="00523E04" w:rsidRPr="0064187A" w:rsidRDefault="00523E04" w:rsidP="003504B4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Smlouvu lze měnit pouze písemnými dodatky, nestanoví-li tato Smlouva jinak</w:t>
      </w:r>
    </w:p>
    <w:p w14:paraId="0FC728DE" w14:textId="77777777" w:rsidR="00523E04" w:rsidRPr="0064187A" w:rsidRDefault="00523E04" w:rsidP="003504B4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V případě, že by některé z ujednání této Smlouvy bylo shledáno neplatným nebo nevynutitelným, považuje se za samostatné a oddělitelné od ostatních ujednání a nezpůsobuje to neplatnost této smlouvy jako celku. Pro takový případ se Smluvní strany zavazují, že nahradí toto neplatné ujednání ujednáním jiným, které bude co nejvíce zachovávat a ctít smysl a účel původního ustanovení. </w:t>
      </w:r>
    </w:p>
    <w:p w14:paraId="66777927" w14:textId="77777777" w:rsidR="00523E04" w:rsidRPr="0064187A" w:rsidRDefault="00523E04" w:rsidP="003504B4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 xml:space="preserve">Smluvní strany shodně prohlašují, že si znění Smlouvy před jejím podpisem řádně přečetly, souhlasí s ní v celém rozsahu, že tato Smlouva byla uzavřena po vzájemném projednání dle jejich pravé, svobodné a vážné vůle, že nebyla podepsána v tísni ani za nápadně nevýhodných podmínek a na důkaz toho připojují své vlastnoruční podpisy. </w:t>
      </w:r>
    </w:p>
    <w:p w14:paraId="106FC954" w14:textId="77777777" w:rsidR="00523E04" w:rsidRPr="0064187A" w:rsidRDefault="00523E04" w:rsidP="00D53E6F">
      <w:pPr>
        <w:jc w:val="both"/>
        <w:rPr>
          <w:sz w:val="16"/>
          <w:szCs w:val="18"/>
          <w:lang w:val="cs-CZ"/>
        </w:rPr>
      </w:pPr>
    </w:p>
    <w:p w14:paraId="08028B83" w14:textId="06DE06E2" w:rsidR="00523E04" w:rsidRPr="0064187A" w:rsidRDefault="00D53E6F" w:rsidP="00D53E6F">
      <w:pPr>
        <w:jc w:val="both"/>
        <w:rPr>
          <w:sz w:val="16"/>
          <w:szCs w:val="18"/>
          <w:lang w:val="cs-CZ"/>
        </w:rPr>
      </w:pPr>
      <w:r w:rsidRPr="0064187A">
        <w:rPr>
          <w:sz w:val="16"/>
          <w:szCs w:val="18"/>
          <w:lang w:val="cs-CZ"/>
        </w:rPr>
        <w:t>V</w:t>
      </w:r>
      <w:r w:rsidR="005A4874">
        <w:rPr>
          <w:sz w:val="16"/>
          <w:szCs w:val="18"/>
          <w:lang w:val="cs-CZ"/>
        </w:rPr>
        <w:t xml:space="preserve"> Brně </w:t>
      </w:r>
      <w:r w:rsidRPr="0064187A">
        <w:rPr>
          <w:sz w:val="16"/>
          <w:szCs w:val="18"/>
          <w:lang w:val="cs-CZ"/>
        </w:rPr>
        <w:t>dne</w:t>
      </w:r>
      <w:r w:rsidR="004C1B77">
        <w:rPr>
          <w:sz w:val="16"/>
          <w:szCs w:val="18"/>
          <w:lang w:val="cs-CZ"/>
        </w:rPr>
        <w:t xml:space="preserve">  </w:t>
      </w:r>
      <w:r w:rsidR="005C7FC0">
        <w:rPr>
          <w:sz w:val="16"/>
          <w:szCs w:val="18"/>
          <w:lang w:val="cs-CZ"/>
        </w:rPr>
        <w:t xml:space="preserve"> </w:t>
      </w:r>
      <w:r w:rsidR="00523E04" w:rsidRPr="0064187A">
        <w:rPr>
          <w:sz w:val="16"/>
          <w:szCs w:val="18"/>
          <w:lang w:val="cs-CZ"/>
        </w:rPr>
        <w:tab/>
      </w:r>
      <w:r w:rsidR="00523E04" w:rsidRPr="0064187A">
        <w:rPr>
          <w:sz w:val="16"/>
          <w:szCs w:val="18"/>
          <w:lang w:val="cs-CZ"/>
        </w:rPr>
        <w:tab/>
      </w:r>
      <w:r w:rsidR="00DE5E06" w:rsidRPr="0064187A">
        <w:rPr>
          <w:sz w:val="16"/>
          <w:szCs w:val="18"/>
          <w:lang w:val="cs-CZ"/>
        </w:rPr>
        <w:tab/>
      </w:r>
      <w:r w:rsidR="00DE5E06" w:rsidRPr="0064187A">
        <w:rPr>
          <w:sz w:val="16"/>
          <w:szCs w:val="18"/>
          <w:lang w:val="cs-CZ"/>
        </w:rPr>
        <w:tab/>
      </w:r>
      <w:r w:rsidR="004C1B77">
        <w:rPr>
          <w:sz w:val="16"/>
          <w:szCs w:val="18"/>
          <w:lang w:val="cs-CZ"/>
        </w:rPr>
        <w:tab/>
      </w:r>
      <w:r w:rsidR="00F128D3" w:rsidRPr="0064187A">
        <w:rPr>
          <w:sz w:val="16"/>
          <w:szCs w:val="18"/>
          <w:lang w:val="cs-CZ"/>
        </w:rPr>
        <w:t>V…………</w:t>
      </w:r>
      <w:r w:rsidR="006267CD" w:rsidRPr="0064187A">
        <w:rPr>
          <w:sz w:val="16"/>
          <w:szCs w:val="18"/>
          <w:lang w:val="cs-CZ"/>
        </w:rPr>
        <w:t>dne</w:t>
      </w:r>
      <w:r w:rsidR="00F128D3" w:rsidRPr="0064187A">
        <w:rPr>
          <w:sz w:val="16"/>
          <w:szCs w:val="18"/>
          <w:lang w:val="cs-CZ"/>
        </w:rPr>
        <w:t>……………………….</w:t>
      </w:r>
    </w:p>
    <w:p w14:paraId="7B57778F" w14:textId="6BDF92B1" w:rsidR="000E4393" w:rsidRDefault="00DE5E06" w:rsidP="003504B4">
      <w:pPr>
        <w:jc w:val="both"/>
        <w:rPr>
          <w:i/>
          <w:sz w:val="16"/>
          <w:szCs w:val="18"/>
          <w:lang w:val="cs-CZ"/>
        </w:rPr>
      </w:pPr>
      <w:r w:rsidRPr="0064187A">
        <w:rPr>
          <w:i/>
          <w:sz w:val="16"/>
          <w:szCs w:val="18"/>
          <w:lang w:val="cs-CZ"/>
        </w:rPr>
        <w:tab/>
      </w:r>
      <w:r w:rsidRPr="0064187A">
        <w:rPr>
          <w:i/>
          <w:sz w:val="16"/>
          <w:szCs w:val="18"/>
          <w:lang w:val="cs-CZ"/>
        </w:rPr>
        <w:tab/>
      </w:r>
      <w:r w:rsidR="003504B4">
        <w:rPr>
          <w:i/>
          <w:sz w:val="16"/>
          <w:szCs w:val="18"/>
          <w:lang w:val="cs-CZ"/>
        </w:rPr>
        <w:tab/>
      </w:r>
    </w:p>
    <w:p w14:paraId="7B0B8E41" w14:textId="055D3A7E" w:rsidR="002705EC" w:rsidRDefault="002705EC" w:rsidP="003504B4">
      <w:pPr>
        <w:jc w:val="both"/>
        <w:rPr>
          <w:i/>
          <w:sz w:val="16"/>
          <w:szCs w:val="18"/>
          <w:lang w:val="cs-CZ"/>
        </w:rPr>
      </w:pPr>
    </w:p>
    <w:p w14:paraId="6499B662" w14:textId="77F6B9CC" w:rsidR="002705EC" w:rsidRDefault="002705EC" w:rsidP="003504B4">
      <w:pPr>
        <w:jc w:val="both"/>
        <w:rPr>
          <w:i/>
          <w:sz w:val="16"/>
          <w:szCs w:val="18"/>
          <w:lang w:val="cs-CZ"/>
        </w:rPr>
      </w:pPr>
    </w:p>
    <w:p w14:paraId="4F42AC0A" w14:textId="4BCEC8E2" w:rsidR="002705EC" w:rsidRDefault="002705EC" w:rsidP="003504B4">
      <w:pPr>
        <w:jc w:val="both"/>
        <w:rPr>
          <w:i/>
          <w:sz w:val="16"/>
          <w:szCs w:val="18"/>
          <w:lang w:val="cs-CZ"/>
        </w:rPr>
      </w:pPr>
    </w:p>
    <w:p w14:paraId="56FD6A5B" w14:textId="52E6003F" w:rsidR="002705EC" w:rsidRDefault="002705EC" w:rsidP="003504B4">
      <w:pPr>
        <w:jc w:val="both"/>
        <w:rPr>
          <w:i/>
          <w:sz w:val="16"/>
          <w:szCs w:val="18"/>
          <w:lang w:val="cs-CZ"/>
        </w:rPr>
      </w:pPr>
    </w:p>
    <w:p w14:paraId="5CA44CE6" w14:textId="2626EF7E" w:rsidR="002705EC" w:rsidRDefault="002705EC" w:rsidP="003504B4">
      <w:pPr>
        <w:jc w:val="both"/>
        <w:rPr>
          <w:i/>
          <w:sz w:val="16"/>
          <w:szCs w:val="18"/>
          <w:lang w:val="cs-CZ"/>
        </w:rPr>
      </w:pPr>
    </w:p>
    <w:p w14:paraId="3EBE89BE" w14:textId="2EB7171D" w:rsidR="002705EC" w:rsidRDefault="002705EC" w:rsidP="003504B4">
      <w:pPr>
        <w:jc w:val="both"/>
        <w:rPr>
          <w:i/>
          <w:sz w:val="16"/>
          <w:szCs w:val="18"/>
          <w:lang w:val="cs-CZ"/>
        </w:rPr>
      </w:pPr>
    </w:p>
    <w:p w14:paraId="40FE8C40" w14:textId="00574F7E" w:rsidR="002705EC" w:rsidRDefault="002705EC" w:rsidP="003504B4">
      <w:pPr>
        <w:jc w:val="both"/>
        <w:rPr>
          <w:i/>
          <w:sz w:val="16"/>
          <w:szCs w:val="18"/>
          <w:lang w:val="cs-CZ"/>
        </w:rPr>
      </w:pPr>
    </w:p>
    <w:p w14:paraId="309138E4" w14:textId="77777777" w:rsidR="002705EC" w:rsidRDefault="002705EC" w:rsidP="003504B4">
      <w:pPr>
        <w:jc w:val="both"/>
        <w:rPr>
          <w:i/>
          <w:sz w:val="16"/>
          <w:szCs w:val="18"/>
          <w:lang w:val="cs-CZ"/>
        </w:rPr>
      </w:pPr>
    </w:p>
    <w:p w14:paraId="3B7798D1" w14:textId="77777777" w:rsidR="006C6701" w:rsidRPr="00A01E46" w:rsidRDefault="006C6701" w:rsidP="00A01E46">
      <w:pPr>
        <w:jc w:val="center"/>
        <w:rPr>
          <w:i/>
          <w:sz w:val="20"/>
          <w:szCs w:val="18"/>
          <w:lang w:val="cs-CZ"/>
        </w:rPr>
      </w:pPr>
      <w:r w:rsidRPr="00A01E46">
        <w:rPr>
          <w:b/>
          <w:i/>
          <w:sz w:val="20"/>
          <w:szCs w:val="18"/>
          <w:lang w:val="cs-CZ"/>
        </w:rPr>
        <w:lastRenderedPageBreak/>
        <w:t>Příloha č. 1</w:t>
      </w:r>
      <w:r w:rsidRPr="00A01E46">
        <w:rPr>
          <w:i/>
          <w:sz w:val="20"/>
          <w:szCs w:val="18"/>
          <w:lang w:val="cs-CZ"/>
        </w:rPr>
        <w:t>: Specifikace údajů potřebných pro závoz a fakturaci zboží.</w:t>
      </w:r>
    </w:p>
    <w:p w14:paraId="17D969FA" w14:textId="1368B59A" w:rsidR="00610B41" w:rsidRDefault="00610B41" w:rsidP="003504B4">
      <w:pPr>
        <w:jc w:val="both"/>
        <w:rPr>
          <w:i/>
          <w:sz w:val="16"/>
          <w:szCs w:val="18"/>
          <w:lang w:val="cs-CZ"/>
        </w:rPr>
      </w:pPr>
    </w:p>
    <w:p w14:paraId="330B9B4E" w14:textId="5F51C851" w:rsidR="00A01E46" w:rsidRDefault="00A01E46" w:rsidP="003504B4">
      <w:pPr>
        <w:jc w:val="both"/>
        <w:rPr>
          <w:i/>
          <w:sz w:val="16"/>
          <w:szCs w:val="18"/>
          <w:lang w:val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0"/>
        <w:gridCol w:w="2341"/>
        <w:gridCol w:w="2138"/>
        <w:gridCol w:w="2487"/>
      </w:tblGrid>
      <w:tr w:rsidR="00A01E46" w:rsidRPr="00A01E46" w14:paraId="341819BB" w14:textId="77777777" w:rsidTr="00A01E46">
        <w:trPr>
          <w:trHeight w:val="45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D817DC" w14:textId="1F879F66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  <w:t>Název firmy:</w:t>
            </w:r>
          </w:p>
        </w:tc>
      </w:tr>
      <w:tr w:rsidR="00A01E46" w:rsidRPr="00A01E46" w14:paraId="72B0374B" w14:textId="77777777" w:rsidTr="00A01E46">
        <w:trPr>
          <w:trHeight w:val="454"/>
        </w:trPr>
        <w:tc>
          <w:tcPr>
            <w:tcW w:w="25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B98C0" w14:textId="63E6D4CD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IČ:</w:t>
            </w:r>
            <w:r>
              <w:rPr>
                <w:color w:val="000000"/>
                <w:sz w:val="18"/>
                <w:szCs w:val="16"/>
                <w:lang w:val="cs-CZ" w:eastAsia="en-US"/>
              </w:rPr>
              <w:t xml:space="preserve"> </w:t>
            </w: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24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5D9F2D" w14:textId="65CB83AA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DIČ:</w:t>
            </w:r>
          </w:p>
        </w:tc>
      </w:tr>
      <w:tr w:rsidR="00A01E46" w:rsidRPr="00A01E46" w14:paraId="6D8A7597" w14:textId="77777777" w:rsidTr="00A01E46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BAACF8" w14:textId="75BAFBA6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Sídlo firmy:</w:t>
            </w:r>
          </w:p>
        </w:tc>
      </w:tr>
      <w:tr w:rsidR="00A01E46" w:rsidRPr="00A01E46" w14:paraId="07204212" w14:textId="77777777" w:rsidTr="00A01E46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8EB0C5" w14:textId="7C17E504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Číslo účtu</w:t>
            </w:r>
            <w:r>
              <w:rPr>
                <w:color w:val="000000"/>
                <w:sz w:val="18"/>
                <w:szCs w:val="16"/>
                <w:lang w:val="cs-CZ" w:eastAsia="en-US"/>
              </w:rPr>
              <w:t>:</w:t>
            </w:r>
          </w:p>
        </w:tc>
      </w:tr>
      <w:tr w:rsidR="00A01E46" w:rsidRPr="00A01E46" w14:paraId="62750CFE" w14:textId="77777777" w:rsidTr="00A01E46">
        <w:trPr>
          <w:trHeight w:val="298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7B937178" w14:textId="77777777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  <w:t>KONTAKTY:</w:t>
            </w:r>
          </w:p>
        </w:tc>
      </w:tr>
      <w:tr w:rsidR="00A01E46" w:rsidRPr="00A01E46" w14:paraId="19D263FF" w14:textId="77777777" w:rsidTr="00A01E46">
        <w:trPr>
          <w:trHeight w:val="454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80449D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D51ACB" w14:textId="77777777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Jméno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71BCD5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Telefon</w:t>
            </w:r>
          </w:p>
        </w:tc>
        <w:tc>
          <w:tcPr>
            <w:tcW w:w="13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2E65FE1D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Email</w:t>
            </w:r>
          </w:p>
        </w:tc>
      </w:tr>
      <w:tr w:rsidR="00A01E46" w:rsidRPr="00A01E46" w14:paraId="1A34CF68" w14:textId="77777777" w:rsidTr="00A01E46">
        <w:trPr>
          <w:trHeight w:val="23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14B260B5" w14:textId="02AF2B3B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  <w:t>Zákazník</w:t>
            </w:r>
          </w:p>
        </w:tc>
      </w:tr>
      <w:tr w:rsidR="00A01E46" w:rsidRPr="00A01E46" w14:paraId="6557E556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7F7A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Kontakt na vedení: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85C17" w14:textId="77777777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1A011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96917C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0D686485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060349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Kontakt na finanční oddělení zasílání faktur a informace o platbách: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B8FFB5" w14:textId="77777777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3683B7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B67EFD3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280A82ED" w14:textId="77777777" w:rsidTr="00A01E46">
        <w:trPr>
          <w:trHeight w:val="454"/>
        </w:trPr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50752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Osoba oprávněná pro vytváření objednávek: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E029" w14:textId="77777777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232AC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BEF003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1A894DEF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7DCA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Osoba oprávněná pro vytváření objednávek: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70FE" w14:textId="77777777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EAC78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02B5C87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09433335" w14:textId="77777777" w:rsidTr="00A01E46">
        <w:trPr>
          <w:trHeight w:val="25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58B3EACA" w14:textId="14F5A7B6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  <w:t>Professional support</w:t>
            </w:r>
          </w:p>
        </w:tc>
      </w:tr>
      <w:tr w:rsidR="00A01E46" w:rsidRPr="00A01E46" w14:paraId="18CD9616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103A57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Kontakt na zástupce: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9AFD62" w14:textId="77777777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79A74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ED25BE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563C1"/>
                <w:sz w:val="18"/>
                <w:szCs w:val="16"/>
                <w:u w:val="single"/>
                <w:lang w:val="cs-CZ" w:eastAsia="en-US"/>
              </w:rPr>
            </w:pPr>
            <w:r w:rsidRPr="00A01E46">
              <w:rPr>
                <w:color w:val="0563C1"/>
                <w:sz w:val="18"/>
                <w:szCs w:val="16"/>
                <w:u w:val="single"/>
                <w:lang w:val="cs-CZ" w:eastAsia="en-US"/>
              </w:rPr>
              <w:t> </w:t>
            </w:r>
          </w:p>
        </w:tc>
      </w:tr>
      <w:tr w:rsidR="00A01E46" w:rsidRPr="00A01E46" w14:paraId="79D1C332" w14:textId="77777777" w:rsidTr="00A01E46">
        <w:trPr>
          <w:trHeight w:val="238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220375FA" w14:textId="1996669D" w:rsidR="00A01E46" w:rsidRPr="00A01E46" w:rsidRDefault="00A01E46" w:rsidP="00A01E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val="cs-CZ" w:eastAsia="en-US"/>
              </w:rPr>
              <w:t>DODACÍ MÍSTA:</w:t>
            </w:r>
          </w:p>
        </w:tc>
      </w:tr>
      <w:tr w:rsidR="00A01E46" w:rsidRPr="00A01E46" w14:paraId="00EE537D" w14:textId="77777777" w:rsidTr="00A01E46">
        <w:trPr>
          <w:trHeight w:val="454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A4B06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Dodací adresa skladu 1:</w:t>
            </w:r>
          </w:p>
        </w:tc>
        <w:tc>
          <w:tcPr>
            <w:tcW w:w="37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A2644A" w14:textId="29C8DA09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01EE361E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8567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Otevírací doba ve skladu 1: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9E60A4" w14:textId="6186660F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3BC3E998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DBC4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Osoba oprávněná za převzetí zboží: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F46497" w14:textId="1F0A977C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411289F2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5E5460E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Nakládací rampa (ano/ne):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C051E4" w14:textId="5C707F59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 </w:t>
            </w:r>
          </w:p>
        </w:tc>
      </w:tr>
      <w:tr w:rsidR="00A01E46" w:rsidRPr="00A01E46" w14:paraId="63D5DBE4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2D4E3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Dodací adresa skladu 2: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925BBB" w14:textId="4BC3D8C9" w:rsidR="00A01E46" w:rsidRPr="00A01E46" w:rsidRDefault="00A01E46" w:rsidP="004951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31AD8DE3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9432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Otevírací doba ve skladu 2: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79E75B" w14:textId="40C4C1B2" w:rsidR="00A01E46" w:rsidRPr="00A01E46" w:rsidRDefault="00A01E46" w:rsidP="004951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274E3D3D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912CE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Osoba oprávněná za převzetí zboží: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96D3F6" w14:textId="42D76CB4" w:rsidR="00A01E46" w:rsidRPr="00A01E46" w:rsidRDefault="00A01E46" w:rsidP="004951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  <w:tr w:rsidR="00A01E46" w:rsidRPr="00A01E46" w14:paraId="49A18321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9021D3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Nakládací rampa (ano/ne):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E7407B" w14:textId="0D18C727" w:rsidR="00A01E46" w:rsidRPr="00A01E46" w:rsidRDefault="00A01E46" w:rsidP="004951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</w:p>
        </w:tc>
      </w:tr>
      <w:tr w:rsidR="00A01E46" w:rsidRPr="00A01E46" w14:paraId="1C7AEFCC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057A9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Dodací adresa skladu 3: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A61B87" w14:textId="26645BA5" w:rsidR="00A01E46" w:rsidRPr="00A01E46" w:rsidRDefault="00A01E46" w:rsidP="004951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 </w:t>
            </w:r>
          </w:p>
        </w:tc>
      </w:tr>
      <w:tr w:rsidR="00A01E46" w:rsidRPr="00A01E46" w14:paraId="379A735B" w14:textId="77777777" w:rsidTr="00A01E46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E3236" w14:textId="77777777" w:rsidR="00A01E46" w:rsidRPr="00A01E46" w:rsidRDefault="00A01E46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Otevírací doba ve skladu 3: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7E0BE1" w14:textId="62D2593D" w:rsidR="00A01E46" w:rsidRPr="00A01E46" w:rsidRDefault="00A01E46" w:rsidP="004951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</w:p>
        </w:tc>
      </w:tr>
      <w:tr w:rsidR="00495112" w:rsidRPr="00A01E46" w14:paraId="666E9082" w14:textId="77777777" w:rsidTr="00495112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841E0" w14:textId="77777777" w:rsidR="00495112" w:rsidRPr="00A01E46" w:rsidRDefault="00495112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Osoba oprávněná za převzetí zboží: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27C99E" w14:textId="0BB43AF0" w:rsidR="00495112" w:rsidRPr="00A01E46" w:rsidRDefault="00495112" w:rsidP="004951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</w:p>
        </w:tc>
      </w:tr>
      <w:tr w:rsidR="00495112" w:rsidRPr="00A01E46" w14:paraId="4DEB7B25" w14:textId="77777777" w:rsidTr="00495112">
        <w:trPr>
          <w:trHeight w:val="45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AAAA76" w14:textId="77777777" w:rsidR="00495112" w:rsidRPr="00A01E46" w:rsidRDefault="00495112" w:rsidP="00A01E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Nakládací rampa (ano/ne):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F14B89" w14:textId="7BD3AF7E" w:rsidR="00495112" w:rsidRPr="00A01E46" w:rsidRDefault="00495112" w:rsidP="004951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6"/>
                <w:lang w:val="cs-CZ" w:eastAsia="en-US"/>
              </w:rPr>
            </w:pPr>
            <w:r w:rsidRPr="00A01E46">
              <w:rPr>
                <w:color w:val="000000"/>
                <w:sz w:val="18"/>
                <w:szCs w:val="16"/>
                <w:lang w:val="cs-CZ" w:eastAsia="en-US"/>
              </w:rPr>
              <w:t> </w:t>
            </w:r>
          </w:p>
        </w:tc>
      </w:tr>
    </w:tbl>
    <w:p w14:paraId="5F7EA21E" w14:textId="6ED3E7AE" w:rsidR="00A01E46" w:rsidRPr="003504B4" w:rsidRDefault="00A01E46" w:rsidP="003504B4">
      <w:pPr>
        <w:jc w:val="both"/>
        <w:rPr>
          <w:i/>
          <w:sz w:val="16"/>
          <w:szCs w:val="18"/>
          <w:lang w:val="cs-CZ"/>
        </w:rPr>
      </w:pPr>
    </w:p>
    <w:sectPr w:rsidR="00A01E46" w:rsidRPr="003504B4" w:rsidSect="003A70B8">
      <w:type w:val="continuous"/>
      <w:pgSz w:w="11900" w:h="16840"/>
      <w:pgMar w:top="1702" w:right="1410" w:bottom="1440" w:left="1134" w:header="56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B844" w14:textId="77777777" w:rsidR="00CC0870" w:rsidRDefault="00CC0870" w:rsidP="00B24782">
      <w:r>
        <w:separator/>
      </w:r>
    </w:p>
  </w:endnote>
  <w:endnote w:type="continuationSeparator" w:id="0">
    <w:p w14:paraId="77CD97C2" w14:textId="77777777" w:rsidR="00CC0870" w:rsidRDefault="00CC0870" w:rsidP="00B2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9D0" w14:textId="562C2686" w:rsidR="00B24782" w:rsidRPr="00B24782" w:rsidRDefault="00B24782" w:rsidP="0064187A">
    <w:pPr>
      <w:jc w:val="center"/>
      <w:rPr>
        <w:rFonts w:ascii="Arial" w:hAnsi="Arial" w:cs="Arial"/>
        <w:i/>
        <w:iCs/>
        <w:sz w:val="16"/>
        <w:szCs w:val="16"/>
      </w:rPr>
    </w:pPr>
    <w:r w:rsidRPr="00B24782">
      <w:rPr>
        <w:rFonts w:ascii="Arial" w:hAnsi="Arial" w:cs="Arial"/>
        <w:i/>
        <w:iCs/>
        <w:sz w:val="16"/>
        <w:szCs w:val="16"/>
      </w:rPr>
      <w:t xml:space="preserve">Professional support </w:t>
    </w:r>
    <w:proofErr w:type="spellStart"/>
    <w:proofErr w:type="gramStart"/>
    <w:r w:rsidRPr="00B24782">
      <w:rPr>
        <w:rFonts w:ascii="Arial" w:hAnsi="Arial" w:cs="Arial"/>
        <w:i/>
        <w:iCs/>
        <w:sz w:val="16"/>
        <w:szCs w:val="16"/>
      </w:rPr>
      <w:t>s.r.o.</w:t>
    </w:r>
    <w:proofErr w:type="spellEnd"/>
    <w:r w:rsidRPr="00B24782">
      <w:rPr>
        <w:rFonts w:ascii="Arial" w:hAnsi="Arial" w:cs="Arial"/>
        <w:i/>
        <w:iCs/>
        <w:sz w:val="16"/>
        <w:szCs w:val="16"/>
      </w:rPr>
      <w:t xml:space="preserve"> ,</w:t>
    </w:r>
    <w:proofErr w:type="gramEnd"/>
    <w:r w:rsidRPr="00B24782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B24782">
      <w:rPr>
        <w:rFonts w:ascii="Arial" w:hAnsi="Arial" w:cs="Arial"/>
        <w:i/>
        <w:iCs/>
        <w:sz w:val="16"/>
        <w:szCs w:val="16"/>
      </w:rPr>
      <w:t>Procter&amp;Gamble</w:t>
    </w:r>
    <w:proofErr w:type="spellEnd"/>
    <w:r w:rsidRPr="00B24782">
      <w:rPr>
        <w:rFonts w:ascii="Arial" w:hAnsi="Arial" w:cs="Arial"/>
        <w:i/>
        <w:iCs/>
        <w:sz w:val="16"/>
        <w:szCs w:val="16"/>
      </w:rPr>
      <w:t xml:space="preserve"> Professional Service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465" w14:textId="77777777" w:rsidR="00CC0870" w:rsidRDefault="00CC0870" w:rsidP="00B24782">
      <w:r>
        <w:separator/>
      </w:r>
    </w:p>
  </w:footnote>
  <w:footnote w:type="continuationSeparator" w:id="0">
    <w:p w14:paraId="37E443E0" w14:textId="77777777" w:rsidR="00CC0870" w:rsidRDefault="00CC0870" w:rsidP="00B2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EC0C" w14:textId="44CB971C" w:rsidR="00B24782" w:rsidRDefault="00B24782">
    <w:pPr>
      <w:pStyle w:val="Zhlav"/>
    </w:pPr>
    <w:r>
      <w:tab/>
    </w:r>
    <w:r>
      <w:tab/>
    </w:r>
    <w:r w:rsidR="003A70B8">
      <w:rPr>
        <w:noProof/>
        <w:lang w:val="cs-CZ" w:eastAsia="cs-CZ"/>
      </w:rPr>
      <w:drawing>
        <wp:inline distT="0" distB="0" distL="0" distR="0" wp14:anchorId="5170EB0E" wp14:editId="73F668C6">
          <wp:extent cx="894856" cy="311463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5" cy="32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0FE5" w14:textId="47C0A315" w:rsidR="0064187A" w:rsidRDefault="0064187A" w:rsidP="0064187A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443D4634" wp14:editId="53141B7C">
          <wp:extent cx="894856" cy="311463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5" cy="32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C19"/>
    <w:multiLevelType w:val="hybridMultilevel"/>
    <w:tmpl w:val="88DCEA3E"/>
    <w:lvl w:ilvl="0" w:tplc="F1669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602"/>
    <w:multiLevelType w:val="multilevel"/>
    <w:tmpl w:val="8E0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34E71"/>
    <w:multiLevelType w:val="hybridMultilevel"/>
    <w:tmpl w:val="08C4C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2AFD"/>
    <w:multiLevelType w:val="hybridMultilevel"/>
    <w:tmpl w:val="39421E4E"/>
    <w:lvl w:ilvl="0" w:tplc="0F30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57A"/>
    <w:multiLevelType w:val="singleLevel"/>
    <w:tmpl w:val="8266F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A2F36A8"/>
    <w:multiLevelType w:val="hybridMultilevel"/>
    <w:tmpl w:val="54A80A06"/>
    <w:lvl w:ilvl="0" w:tplc="D0A25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00F"/>
    <w:multiLevelType w:val="hybridMultilevel"/>
    <w:tmpl w:val="F1BEBA52"/>
    <w:lvl w:ilvl="0" w:tplc="BC7EB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31D5"/>
    <w:multiLevelType w:val="hybridMultilevel"/>
    <w:tmpl w:val="F69C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3F56"/>
    <w:multiLevelType w:val="hybridMultilevel"/>
    <w:tmpl w:val="FE7EC6CA"/>
    <w:lvl w:ilvl="0" w:tplc="65FAC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1119"/>
    <w:multiLevelType w:val="singleLevel"/>
    <w:tmpl w:val="2228A18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3B950FC5"/>
    <w:multiLevelType w:val="hybridMultilevel"/>
    <w:tmpl w:val="57CE1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3FC9"/>
    <w:multiLevelType w:val="hybridMultilevel"/>
    <w:tmpl w:val="9D681EB8"/>
    <w:lvl w:ilvl="0" w:tplc="D6BA1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D386A"/>
    <w:multiLevelType w:val="hybridMultilevel"/>
    <w:tmpl w:val="7638E5CE"/>
    <w:lvl w:ilvl="0" w:tplc="9CDAB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D4615"/>
    <w:multiLevelType w:val="hybridMultilevel"/>
    <w:tmpl w:val="D87A384E"/>
    <w:lvl w:ilvl="0" w:tplc="98EE65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969D4"/>
    <w:multiLevelType w:val="hybridMultilevel"/>
    <w:tmpl w:val="E2A8F91E"/>
    <w:lvl w:ilvl="0" w:tplc="92069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45E36"/>
    <w:multiLevelType w:val="hybridMultilevel"/>
    <w:tmpl w:val="20EC5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7710F"/>
    <w:multiLevelType w:val="hybridMultilevel"/>
    <w:tmpl w:val="D5C6C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510E9"/>
    <w:multiLevelType w:val="hybridMultilevel"/>
    <w:tmpl w:val="EDE6217C"/>
    <w:lvl w:ilvl="0" w:tplc="08608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17"/>
  </w:num>
  <w:num w:numId="10">
    <w:abstractNumId w:val="15"/>
  </w:num>
  <w:num w:numId="11">
    <w:abstractNumId w:val="10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6F"/>
    <w:rsid w:val="00006538"/>
    <w:rsid w:val="0003345F"/>
    <w:rsid w:val="00053111"/>
    <w:rsid w:val="0005602E"/>
    <w:rsid w:val="00072F00"/>
    <w:rsid w:val="00074F0A"/>
    <w:rsid w:val="00076FB7"/>
    <w:rsid w:val="000A6AB2"/>
    <w:rsid w:val="000C627F"/>
    <w:rsid w:val="000E34B0"/>
    <w:rsid w:val="000E4393"/>
    <w:rsid w:val="000F4608"/>
    <w:rsid w:val="001000B0"/>
    <w:rsid w:val="001103D9"/>
    <w:rsid w:val="0011238B"/>
    <w:rsid w:val="001138C1"/>
    <w:rsid w:val="00117C30"/>
    <w:rsid w:val="00122613"/>
    <w:rsid w:val="00171F64"/>
    <w:rsid w:val="00181805"/>
    <w:rsid w:val="00196B0E"/>
    <w:rsid w:val="001E1AAC"/>
    <w:rsid w:val="001F333F"/>
    <w:rsid w:val="002705EC"/>
    <w:rsid w:val="002767B7"/>
    <w:rsid w:val="00292B3D"/>
    <w:rsid w:val="002A55C5"/>
    <w:rsid w:val="002E6876"/>
    <w:rsid w:val="003241EB"/>
    <w:rsid w:val="003414D9"/>
    <w:rsid w:val="00345D1B"/>
    <w:rsid w:val="00346FCC"/>
    <w:rsid w:val="003504B4"/>
    <w:rsid w:val="00356A00"/>
    <w:rsid w:val="003A70B8"/>
    <w:rsid w:val="003E181D"/>
    <w:rsid w:val="003E26F1"/>
    <w:rsid w:val="003F7F41"/>
    <w:rsid w:val="0040098E"/>
    <w:rsid w:val="00402A71"/>
    <w:rsid w:val="0045424E"/>
    <w:rsid w:val="00491BFE"/>
    <w:rsid w:val="00495112"/>
    <w:rsid w:val="004B2D42"/>
    <w:rsid w:val="004C1B77"/>
    <w:rsid w:val="004E5933"/>
    <w:rsid w:val="004F3A4B"/>
    <w:rsid w:val="004F6AF0"/>
    <w:rsid w:val="00503C83"/>
    <w:rsid w:val="00523E04"/>
    <w:rsid w:val="0055250C"/>
    <w:rsid w:val="005615F3"/>
    <w:rsid w:val="005849DD"/>
    <w:rsid w:val="005A4874"/>
    <w:rsid w:val="005C7FC0"/>
    <w:rsid w:val="005D6E9F"/>
    <w:rsid w:val="005E2881"/>
    <w:rsid w:val="005E6CBF"/>
    <w:rsid w:val="00603645"/>
    <w:rsid w:val="00610B41"/>
    <w:rsid w:val="006267CD"/>
    <w:rsid w:val="0064187A"/>
    <w:rsid w:val="00670ACB"/>
    <w:rsid w:val="00671E39"/>
    <w:rsid w:val="006A78E3"/>
    <w:rsid w:val="006B0D66"/>
    <w:rsid w:val="006C6701"/>
    <w:rsid w:val="00700AAD"/>
    <w:rsid w:val="00703FB7"/>
    <w:rsid w:val="007046B7"/>
    <w:rsid w:val="00723903"/>
    <w:rsid w:val="007549C9"/>
    <w:rsid w:val="007753AC"/>
    <w:rsid w:val="007B24A2"/>
    <w:rsid w:val="007D34D0"/>
    <w:rsid w:val="008144A0"/>
    <w:rsid w:val="00832D67"/>
    <w:rsid w:val="00866410"/>
    <w:rsid w:val="0088443E"/>
    <w:rsid w:val="00885B12"/>
    <w:rsid w:val="008A4943"/>
    <w:rsid w:val="009009DB"/>
    <w:rsid w:val="00933F85"/>
    <w:rsid w:val="009A1135"/>
    <w:rsid w:val="009A7571"/>
    <w:rsid w:val="009C24C8"/>
    <w:rsid w:val="009C5196"/>
    <w:rsid w:val="00A01E46"/>
    <w:rsid w:val="00A133AB"/>
    <w:rsid w:val="00A35F4C"/>
    <w:rsid w:val="00A45428"/>
    <w:rsid w:val="00A7238E"/>
    <w:rsid w:val="00A97DB6"/>
    <w:rsid w:val="00AA6715"/>
    <w:rsid w:val="00AA6BF5"/>
    <w:rsid w:val="00B24782"/>
    <w:rsid w:val="00B27C20"/>
    <w:rsid w:val="00B46A6F"/>
    <w:rsid w:val="00B670AC"/>
    <w:rsid w:val="00B7224B"/>
    <w:rsid w:val="00BA6509"/>
    <w:rsid w:val="00BF3CF8"/>
    <w:rsid w:val="00BF66E2"/>
    <w:rsid w:val="00C02EA7"/>
    <w:rsid w:val="00C17E4B"/>
    <w:rsid w:val="00C23A82"/>
    <w:rsid w:val="00C52DD9"/>
    <w:rsid w:val="00C63211"/>
    <w:rsid w:val="00C72E18"/>
    <w:rsid w:val="00C737EB"/>
    <w:rsid w:val="00C914B3"/>
    <w:rsid w:val="00CC0870"/>
    <w:rsid w:val="00D312EA"/>
    <w:rsid w:val="00D31B08"/>
    <w:rsid w:val="00D472FB"/>
    <w:rsid w:val="00D4744A"/>
    <w:rsid w:val="00D53E6F"/>
    <w:rsid w:val="00DA2307"/>
    <w:rsid w:val="00DE5E06"/>
    <w:rsid w:val="00E2793E"/>
    <w:rsid w:val="00E775BD"/>
    <w:rsid w:val="00E91765"/>
    <w:rsid w:val="00EB6331"/>
    <w:rsid w:val="00F113CB"/>
    <w:rsid w:val="00F12560"/>
    <w:rsid w:val="00F128D3"/>
    <w:rsid w:val="00F35B0F"/>
    <w:rsid w:val="00F6173D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E5A6B"/>
  <w15:docId w15:val="{7A6ECEAC-5381-4EA9-925F-90AA98D0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E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7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24782"/>
  </w:style>
  <w:style w:type="paragraph" w:styleId="Zpat">
    <w:name w:val="footer"/>
    <w:basedOn w:val="Normln"/>
    <w:link w:val="ZpatChar"/>
    <w:uiPriority w:val="99"/>
    <w:unhideWhenUsed/>
    <w:rsid w:val="00B247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24782"/>
  </w:style>
  <w:style w:type="paragraph" w:styleId="Textbubliny">
    <w:name w:val="Balloon Text"/>
    <w:basedOn w:val="Normln"/>
    <w:link w:val="TextbublinyChar"/>
    <w:uiPriority w:val="99"/>
    <w:semiHidden/>
    <w:unhideWhenUsed/>
    <w:rsid w:val="00B24782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782"/>
    <w:rPr>
      <w:rFonts w:ascii="Lucida Grande" w:hAnsi="Lucida Grande" w:cs="Lucida Grande"/>
      <w:sz w:val="18"/>
      <w:szCs w:val="18"/>
    </w:rPr>
  </w:style>
  <w:style w:type="paragraph" w:customStyle="1" w:styleId="msoaddress">
    <w:name w:val="msoaddress"/>
    <w:rsid w:val="000E4393"/>
    <w:rPr>
      <w:rFonts w:ascii="Arial" w:eastAsia="Times New Roman" w:hAnsi="Times New Roman" w:cs="Times New Roman"/>
      <w:color w:val="000000"/>
      <w:kern w:val="28"/>
      <w:sz w:val="16"/>
      <w:szCs w:val="16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53E6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0A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390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0A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AC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A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A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A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4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B27C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0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fsuppor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bchod@profsupport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1978</Words>
  <Characters>11673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maty1czech@yahoo.co.uk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Matějka</dc:creator>
  <cp:lastModifiedBy>Jana Mašková</cp:lastModifiedBy>
  <cp:revision>4</cp:revision>
  <cp:lastPrinted>2018-12-11T15:31:00Z</cp:lastPrinted>
  <dcterms:created xsi:type="dcterms:W3CDTF">2025-05-19T13:29:00Z</dcterms:created>
  <dcterms:modified xsi:type="dcterms:W3CDTF">2025-05-23T11:41:00Z</dcterms:modified>
</cp:coreProperties>
</file>