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8DC" w:rsidRDefault="000D58DC" w:rsidP="000D58DC">
      <w:pPr>
        <w:pStyle w:val="Zkladntext1"/>
        <w:shd w:val="clear" w:color="auto" w:fill="auto"/>
        <w:ind w:left="7082"/>
        <w:rPr>
          <w:b/>
          <w:bCs/>
          <w:sz w:val="22"/>
          <w:szCs w:val="22"/>
        </w:rPr>
      </w:pPr>
    </w:p>
    <w:p w:rsidR="000D58DC" w:rsidRDefault="000D58DC" w:rsidP="000D58DC">
      <w:pPr>
        <w:pStyle w:val="Zkladntext1"/>
        <w:shd w:val="clear" w:color="auto" w:fill="auto"/>
        <w:ind w:left="7082"/>
        <w:rPr>
          <w:b/>
          <w:bCs/>
          <w:sz w:val="22"/>
          <w:szCs w:val="22"/>
        </w:rPr>
      </w:pPr>
      <w:r>
        <w:rPr>
          <w:b/>
          <w:bCs/>
          <w:sz w:val="22"/>
          <w:szCs w:val="22"/>
        </w:rPr>
        <w:t>OGL/999/2017</w:t>
      </w:r>
    </w:p>
    <w:p w:rsidR="000D58DC" w:rsidRDefault="000D58DC" w:rsidP="000D58DC">
      <w:pPr>
        <w:pStyle w:val="Zkladntext1"/>
        <w:shd w:val="clear" w:color="auto" w:fill="auto"/>
        <w:ind w:left="7082"/>
        <w:rPr>
          <w:b/>
          <w:bCs/>
          <w:sz w:val="22"/>
          <w:szCs w:val="22"/>
        </w:rPr>
      </w:pPr>
    </w:p>
    <w:p w:rsidR="003A31DA" w:rsidRDefault="000D1950" w:rsidP="000D58DC">
      <w:pPr>
        <w:pStyle w:val="Zkladntext1"/>
        <w:shd w:val="clear" w:color="auto" w:fill="auto"/>
        <w:ind w:left="7082"/>
        <w:rPr>
          <w:b/>
          <w:bCs/>
          <w:sz w:val="22"/>
          <w:szCs w:val="22"/>
        </w:rPr>
      </w:pPr>
      <w:r>
        <w:rPr>
          <w:b/>
          <w:bCs/>
          <w:sz w:val="22"/>
          <w:szCs w:val="22"/>
        </w:rPr>
        <w:t xml:space="preserve">č.j. </w:t>
      </w:r>
      <w:r>
        <w:rPr>
          <w:b/>
          <w:bCs/>
          <w:sz w:val="22"/>
          <w:szCs w:val="22"/>
          <w:lang w:val="en-US" w:eastAsia="en-US" w:bidi="en-US"/>
        </w:rPr>
        <w:t xml:space="preserve">NG </w:t>
      </w:r>
      <w:r>
        <w:rPr>
          <w:b/>
          <w:bCs/>
          <w:sz w:val="22"/>
          <w:szCs w:val="22"/>
        </w:rPr>
        <w:t>1404/2017</w:t>
      </w:r>
    </w:p>
    <w:p w:rsidR="000D58DC" w:rsidRDefault="000D58DC" w:rsidP="000D58DC">
      <w:pPr>
        <w:pStyle w:val="Zkladntext1"/>
        <w:shd w:val="clear" w:color="auto" w:fill="auto"/>
        <w:ind w:left="7082"/>
        <w:rPr>
          <w:sz w:val="22"/>
          <w:szCs w:val="22"/>
        </w:rPr>
      </w:pPr>
    </w:p>
    <w:p w:rsidR="000D58DC" w:rsidRDefault="000D58DC" w:rsidP="000D58DC">
      <w:pPr>
        <w:pStyle w:val="Zkladntext1"/>
        <w:shd w:val="clear" w:color="auto" w:fill="auto"/>
        <w:ind w:left="7082"/>
        <w:rPr>
          <w:sz w:val="22"/>
          <w:szCs w:val="22"/>
        </w:rPr>
      </w:pPr>
    </w:p>
    <w:p w:rsidR="003A31DA" w:rsidRDefault="000D1950">
      <w:pPr>
        <w:pStyle w:val="Zkladntext1"/>
        <w:shd w:val="clear" w:color="auto" w:fill="auto"/>
        <w:spacing w:after="220" w:line="266" w:lineRule="auto"/>
        <w:jc w:val="left"/>
        <w:rPr>
          <w:sz w:val="22"/>
          <w:szCs w:val="22"/>
        </w:rPr>
      </w:pPr>
      <w:r>
        <w:rPr>
          <w:b/>
          <w:bCs/>
          <w:sz w:val="22"/>
          <w:szCs w:val="22"/>
        </w:rPr>
        <w:t>Smluvní strany</w:t>
      </w:r>
    </w:p>
    <w:p w:rsidR="003A31DA" w:rsidRDefault="000D1950">
      <w:pPr>
        <w:pStyle w:val="Zkladntext1"/>
        <w:shd w:val="clear" w:color="auto" w:fill="auto"/>
        <w:spacing w:line="266" w:lineRule="auto"/>
        <w:jc w:val="left"/>
        <w:rPr>
          <w:sz w:val="22"/>
          <w:szCs w:val="22"/>
        </w:rPr>
      </w:pPr>
      <w:r>
        <w:rPr>
          <w:b/>
          <w:bCs/>
          <w:sz w:val="22"/>
          <w:szCs w:val="22"/>
        </w:rPr>
        <w:t>Národní galerie v Praze</w:t>
      </w:r>
    </w:p>
    <w:p w:rsidR="003A31DA" w:rsidRDefault="000D1950">
      <w:pPr>
        <w:pStyle w:val="Zkladntext1"/>
        <w:shd w:val="clear" w:color="auto" w:fill="auto"/>
        <w:jc w:val="left"/>
      </w:pPr>
      <w:r>
        <w:t>se sídlem: Staroměstské nám. 12, 110 15 Praha 1</w:t>
      </w:r>
    </w:p>
    <w:p w:rsidR="003A31DA" w:rsidRDefault="000D1950">
      <w:pPr>
        <w:pStyle w:val="Zkladntext1"/>
        <w:shd w:val="clear" w:color="auto" w:fill="auto"/>
        <w:ind w:right="500"/>
        <w:jc w:val="left"/>
      </w:pPr>
      <w:r>
        <w:t>zastoupená: doc. Dr. et Ing. Jiřím Fajtem, Ph.D., generálním ředitelem Národní galerie v Praze</w:t>
      </w:r>
    </w:p>
    <w:p w:rsidR="003A31DA" w:rsidRDefault="000D1950">
      <w:pPr>
        <w:pStyle w:val="Zkladntext1"/>
        <w:shd w:val="clear" w:color="auto" w:fill="auto"/>
        <w:jc w:val="left"/>
      </w:pPr>
      <w:r>
        <w:t>IČO: 00023281; DIČ: CZ00023281</w:t>
      </w:r>
    </w:p>
    <w:p w:rsidR="003A31DA" w:rsidRDefault="000D58DC">
      <w:pPr>
        <w:pStyle w:val="Zkladntext1"/>
        <w:shd w:val="clear" w:color="auto" w:fill="auto"/>
        <w:jc w:val="left"/>
      </w:pPr>
      <w:r>
        <w:t>Bankovní spojení: XXXXXXXXXXXXXX</w:t>
      </w:r>
    </w:p>
    <w:p w:rsidR="003A31DA" w:rsidRDefault="000D1950">
      <w:pPr>
        <w:pStyle w:val="Zkladntext1"/>
        <w:shd w:val="clear" w:color="auto" w:fill="auto"/>
        <w:jc w:val="left"/>
      </w:pPr>
      <w:r>
        <w:t xml:space="preserve">Číslo účtu: </w:t>
      </w:r>
      <w:r w:rsidR="000D58DC">
        <w:t>XXXXXXXXXXXXX</w:t>
      </w:r>
    </w:p>
    <w:p w:rsidR="003A31DA" w:rsidRDefault="000D1950" w:rsidP="00E34C6A">
      <w:pPr>
        <w:pStyle w:val="Zkladntext1"/>
        <w:shd w:val="clear" w:color="auto" w:fill="auto"/>
        <w:spacing w:line="266" w:lineRule="auto"/>
        <w:jc w:val="left"/>
        <w:rPr>
          <w:b/>
          <w:bCs/>
          <w:sz w:val="22"/>
          <w:szCs w:val="22"/>
        </w:rPr>
      </w:pPr>
      <w:r>
        <w:rPr>
          <w:b/>
          <w:bCs/>
          <w:sz w:val="22"/>
          <w:szCs w:val="22"/>
        </w:rPr>
        <w:t>(dále jen „NG“)</w:t>
      </w:r>
    </w:p>
    <w:p w:rsidR="00E34C6A" w:rsidRDefault="00E34C6A" w:rsidP="00E34C6A">
      <w:pPr>
        <w:pStyle w:val="Zkladntext1"/>
        <w:shd w:val="clear" w:color="auto" w:fill="auto"/>
        <w:spacing w:line="266" w:lineRule="auto"/>
        <w:jc w:val="left"/>
        <w:rPr>
          <w:b/>
          <w:bCs/>
          <w:sz w:val="22"/>
          <w:szCs w:val="22"/>
        </w:rPr>
      </w:pPr>
    </w:p>
    <w:p w:rsidR="00E34C6A" w:rsidRDefault="00E34C6A" w:rsidP="00E34C6A">
      <w:pPr>
        <w:pStyle w:val="Zkladntext1"/>
        <w:shd w:val="clear" w:color="auto" w:fill="auto"/>
        <w:spacing w:line="266" w:lineRule="auto"/>
        <w:jc w:val="left"/>
        <w:rPr>
          <w:b/>
          <w:bCs/>
          <w:sz w:val="22"/>
          <w:szCs w:val="22"/>
        </w:rPr>
      </w:pPr>
    </w:p>
    <w:p w:rsidR="00E34C6A" w:rsidRPr="00E34C6A" w:rsidRDefault="00E34C6A" w:rsidP="00E34C6A">
      <w:pPr>
        <w:pStyle w:val="Zkladntext1"/>
        <w:shd w:val="clear" w:color="auto" w:fill="auto"/>
        <w:spacing w:line="266" w:lineRule="auto"/>
        <w:jc w:val="left"/>
        <w:rPr>
          <w:sz w:val="22"/>
          <w:szCs w:val="22"/>
        </w:rPr>
      </w:pPr>
      <w:r w:rsidRPr="00E34C6A">
        <w:rPr>
          <w:bCs/>
          <w:sz w:val="22"/>
          <w:szCs w:val="22"/>
        </w:rPr>
        <w:t>a</w:t>
      </w:r>
    </w:p>
    <w:p w:rsidR="00E34C6A" w:rsidRDefault="00E34C6A">
      <w:pPr>
        <w:pStyle w:val="Zkladntext1"/>
        <w:shd w:val="clear" w:color="auto" w:fill="auto"/>
        <w:spacing w:line="262" w:lineRule="auto"/>
        <w:jc w:val="left"/>
        <w:rPr>
          <w:b/>
          <w:bCs/>
          <w:sz w:val="22"/>
          <w:szCs w:val="22"/>
        </w:rPr>
      </w:pPr>
    </w:p>
    <w:p w:rsidR="00E34C6A" w:rsidRDefault="00E34C6A">
      <w:pPr>
        <w:pStyle w:val="Zkladntext1"/>
        <w:shd w:val="clear" w:color="auto" w:fill="auto"/>
        <w:spacing w:line="262" w:lineRule="auto"/>
        <w:jc w:val="left"/>
        <w:rPr>
          <w:b/>
          <w:bCs/>
          <w:sz w:val="22"/>
          <w:szCs w:val="22"/>
        </w:rPr>
      </w:pPr>
    </w:p>
    <w:p w:rsidR="003A31DA" w:rsidRDefault="000D1950">
      <w:pPr>
        <w:pStyle w:val="Zkladntext1"/>
        <w:shd w:val="clear" w:color="auto" w:fill="auto"/>
        <w:spacing w:line="262" w:lineRule="auto"/>
        <w:jc w:val="left"/>
        <w:rPr>
          <w:sz w:val="22"/>
          <w:szCs w:val="22"/>
        </w:rPr>
      </w:pPr>
      <w:r>
        <w:rPr>
          <w:b/>
          <w:bCs/>
          <w:sz w:val="22"/>
          <w:szCs w:val="22"/>
        </w:rPr>
        <w:t>Oblastní galerie Liberec</w:t>
      </w:r>
    </w:p>
    <w:p w:rsidR="003A31DA" w:rsidRDefault="000D1950">
      <w:pPr>
        <w:pStyle w:val="Zkladntext1"/>
        <w:shd w:val="clear" w:color="auto" w:fill="auto"/>
        <w:jc w:val="left"/>
      </w:pPr>
      <w:r>
        <w:t>Se sídlem Masarykova 723/14, 460 01 Liberec 1</w:t>
      </w:r>
    </w:p>
    <w:p w:rsidR="000D58DC" w:rsidRDefault="000D1950" w:rsidP="000D58DC">
      <w:pPr>
        <w:pStyle w:val="Zkladntext1"/>
        <w:shd w:val="clear" w:color="auto" w:fill="auto"/>
        <w:ind w:right="499"/>
        <w:jc w:val="left"/>
      </w:pPr>
      <w:r>
        <w:t xml:space="preserve">zastoupená Mgr. Janem Randáčkem, ředitelem Oblastní galerie Liberec </w:t>
      </w:r>
    </w:p>
    <w:p w:rsidR="000D58DC" w:rsidRDefault="000D1950" w:rsidP="000D58DC">
      <w:pPr>
        <w:pStyle w:val="Zkladntext1"/>
        <w:shd w:val="clear" w:color="auto" w:fill="auto"/>
        <w:ind w:right="499"/>
        <w:jc w:val="left"/>
      </w:pPr>
      <w:r>
        <w:t xml:space="preserve">IČ: 00083267; DIČ: CZ 00083267 </w:t>
      </w:r>
    </w:p>
    <w:p w:rsidR="000D58DC" w:rsidRDefault="000D58DC" w:rsidP="000D58DC">
      <w:pPr>
        <w:pStyle w:val="Zkladntext1"/>
        <w:shd w:val="clear" w:color="auto" w:fill="auto"/>
        <w:ind w:right="499"/>
        <w:jc w:val="left"/>
      </w:pPr>
      <w:r>
        <w:t>bankovní spojení: XXXXXXXXXXXXX</w:t>
      </w:r>
      <w:r w:rsidR="000D1950">
        <w:t xml:space="preserve">, </w:t>
      </w:r>
    </w:p>
    <w:p w:rsidR="003A31DA" w:rsidRDefault="000D1950" w:rsidP="000D58DC">
      <w:pPr>
        <w:pStyle w:val="Zkladntext1"/>
        <w:shd w:val="clear" w:color="auto" w:fill="auto"/>
        <w:ind w:right="499"/>
        <w:jc w:val="left"/>
      </w:pPr>
      <w:r>
        <w:t xml:space="preserve">číslo účtu: </w:t>
      </w:r>
      <w:r w:rsidR="000D58DC">
        <w:t>XXXXXXXXXXXX</w:t>
      </w:r>
    </w:p>
    <w:p w:rsidR="000D58DC" w:rsidRDefault="000D58DC" w:rsidP="000D58DC">
      <w:pPr>
        <w:pStyle w:val="Zkladntext1"/>
        <w:shd w:val="clear" w:color="auto" w:fill="auto"/>
        <w:jc w:val="left"/>
        <w:rPr>
          <w:b/>
          <w:bCs/>
          <w:sz w:val="22"/>
          <w:szCs w:val="22"/>
        </w:rPr>
      </w:pPr>
    </w:p>
    <w:p w:rsidR="003A31DA" w:rsidRDefault="000D1950" w:rsidP="000D58DC">
      <w:pPr>
        <w:pStyle w:val="Zkladntext1"/>
        <w:shd w:val="clear" w:color="auto" w:fill="auto"/>
        <w:jc w:val="left"/>
        <w:rPr>
          <w:b/>
          <w:bCs/>
          <w:sz w:val="22"/>
          <w:szCs w:val="22"/>
        </w:rPr>
      </w:pPr>
      <w:r w:rsidRPr="000D58DC">
        <w:rPr>
          <w:bCs/>
          <w:sz w:val="22"/>
          <w:szCs w:val="22"/>
        </w:rPr>
        <w:t>(dále jen</w:t>
      </w:r>
      <w:r>
        <w:rPr>
          <w:b/>
          <w:bCs/>
          <w:sz w:val="22"/>
          <w:szCs w:val="22"/>
        </w:rPr>
        <w:t xml:space="preserve"> „OGL“)</w:t>
      </w:r>
    </w:p>
    <w:p w:rsidR="000D58DC" w:rsidRDefault="000D58DC" w:rsidP="000D58DC">
      <w:pPr>
        <w:pStyle w:val="Zkladntext1"/>
        <w:shd w:val="clear" w:color="auto" w:fill="auto"/>
        <w:jc w:val="left"/>
        <w:rPr>
          <w:b/>
          <w:bCs/>
          <w:sz w:val="22"/>
          <w:szCs w:val="22"/>
        </w:rPr>
      </w:pPr>
    </w:p>
    <w:p w:rsidR="000D58DC" w:rsidRDefault="000D58DC" w:rsidP="000D58DC">
      <w:pPr>
        <w:pStyle w:val="Zkladntext1"/>
        <w:shd w:val="clear" w:color="auto" w:fill="auto"/>
        <w:jc w:val="left"/>
        <w:rPr>
          <w:b/>
          <w:bCs/>
          <w:sz w:val="22"/>
          <w:szCs w:val="22"/>
        </w:rPr>
      </w:pPr>
    </w:p>
    <w:p w:rsidR="000D58DC" w:rsidRDefault="000D58DC" w:rsidP="000D58DC">
      <w:pPr>
        <w:pStyle w:val="Zkladntext1"/>
        <w:shd w:val="clear" w:color="auto" w:fill="auto"/>
        <w:jc w:val="left"/>
        <w:rPr>
          <w:sz w:val="22"/>
          <w:szCs w:val="22"/>
        </w:rPr>
      </w:pPr>
    </w:p>
    <w:p w:rsidR="003A31DA" w:rsidRDefault="000D1950">
      <w:pPr>
        <w:pStyle w:val="Zkladntext1"/>
        <w:shd w:val="clear" w:color="auto" w:fill="auto"/>
        <w:spacing w:after="820"/>
        <w:jc w:val="left"/>
      </w:pPr>
      <w:r>
        <w:t>uzavírají tuto</w:t>
      </w:r>
    </w:p>
    <w:p w:rsidR="003A31DA" w:rsidRDefault="000D1950">
      <w:pPr>
        <w:pStyle w:val="Zkladntext1"/>
        <w:shd w:val="clear" w:color="auto" w:fill="auto"/>
        <w:spacing w:line="262" w:lineRule="auto"/>
        <w:jc w:val="center"/>
        <w:rPr>
          <w:sz w:val="22"/>
          <w:szCs w:val="22"/>
        </w:rPr>
      </w:pPr>
      <w:r>
        <w:rPr>
          <w:b/>
          <w:bCs/>
          <w:sz w:val="22"/>
          <w:szCs w:val="22"/>
        </w:rPr>
        <w:t>SMLOUVU O VZÁJEMNÉ SPOLUPRÁCI</w:t>
      </w:r>
    </w:p>
    <w:p w:rsidR="003A31DA" w:rsidRDefault="000D1950">
      <w:pPr>
        <w:pStyle w:val="Zkladntext1"/>
        <w:shd w:val="clear" w:color="auto" w:fill="auto"/>
        <w:spacing w:after="300"/>
        <w:jc w:val="center"/>
      </w:pPr>
      <w:r>
        <w:t>dle ust. § 1746 odst. 2, zák. 89/2012 Sb., občanský zákoník</w:t>
      </w:r>
    </w:p>
    <w:p w:rsidR="003A31DA" w:rsidRDefault="000D1950">
      <w:pPr>
        <w:pStyle w:val="Zkladntext1"/>
        <w:shd w:val="clear" w:color="auto" w:fill="auto"/>
        <w:spacing w:line="262" w:lineRule="auto"/>
        <w:jc w:val="center"/>
        <w:rPr>
          <w:sz w:val="22"/>
          <w:szCs w:val="22"/>
        </w:rPr>
      </w:pPr>
      <w:r>
        <w:rPr>
          <w:b/>
          <w:bCs/>
          <w:sz w:val="22"/>
          <w:szCs w:val="22"/>
        </w:rPr>
        <w:t>I.</w:t>
      </w:r>
    </w:p>
    <w:p w:rsidR="003A31DA" w:rsidRDefault="000D1950">
      <w:pPr>
        <w:pStyle w:val="Zkladntext1"/>
        <w:shd w:val="clear" w:color="auto" w:fill="auto"/>
        <w:spacing w:after="240" w:line="262" w:lineRule="auto"/>
        <w:jc w:val="center"/>
        <w:rPr>
          <w:sz w:val="22"/>
          <w:szCs w:val="22"/>
        </w:rPr>
      </w:pPr>
      <w:r>
        <w:rPr>
          <w:b/>
          <w:bCs/>
          <w:sz w:val="22"/>
          <w:szCs w:val="22"/>
        </w:rPr>
        <w:t>Předmět spolupráce</w:t>
      </w:r>
    </w:p>
    <w:p w:rsidR="003A31DA" w:rsidRDefault="000D1950">
      <w:pPr>
        <w:pStyle w:val="Zkladntext1"/>
        <w:shd w:val="clear" w:color="auto" w:fill="auto"/>
        <w:spacing w:after="300"/>
        <w:rPr>
          <w:b/>
          <w:bCs/>
          <w:i/>
          <w:iCs/>
        </w:rPr>
      </w:pPr>
      <w:r>
        <w:t xml:space="preserve">Předmětem smlouvy je závazek smluvních stran ke vzájemné spolupráci na přípravě a realizaci výstavy s názvem </w:t>
      </w:r>
      <w:r>
        <w:rPr>
          <w:b/>
          <w:bCs/>
          <w:i/>
          <w:iCs/>
        </w:rPr>
        <w:t>„Jan Vojtěch Angermeyer“</w:t>
      </w:r>
      <w:r>
        <w:t xml:space="preserve"> (dále jen v této smlouvě jako „výstava“), která se bude konat v Oblastní galerii Liberec ve zrekonstruovaných výstavních prostorách bývalých městských lázní v Liberci (dále jen „budova Lázní“) v termínu od </w:t>
      </w:r>
      <w:r>
        <w:rPr>
          <w:b/>
          <w:bCs/>
          <w:i/>
          <w:iCs/>
        </w:rPr>
        <w:t>14. prosince 2017 do 4. března 2018.</w:t>
      </w:r>
    </w:p>
    <w:p w:rsidR="003A31DA" w:rsidRDefault="000D1950">
      <w:pPr>
        <w:pStyle w:val="Zkladntext1"/>
        <w:shd w:val="clear" w:color="auto" w:fill="auto"/>
        <w:jc w:val="center"/>
        <w:rPr>
          <w:sz w:val="22"/>
          <w:szCs w:val="22"/>
        </w:rPr>
      </w:pPr>
      <w:bookmarkStart w:id="0" w:name="_GoBack"/>
      <w:bookmarkEnd w:id="0"/>
      <w:r>
        <w:rPr>
          <w:b/>
          <w:bCs/>
          <w:sz w:val="22"/>
          <w:szCs w:val="22"/>
        </w:rPr>
        <w:lastRenderedPageBreak/>
        <w:t>II.</w:t>
      </w:r>
    </w:p>
    <w:p w:rsidR="003A31DA" w:rsidRDefault="000D1950">
      <w:pPr>
        <w:pStyle w:val="Zkladntext1"/>
        <w:shd w:val="clear" w:color="auto" w:fill="auto"/>
        <w:spacing w:after="260"/>
        <w:jc w:val="center"/>
        <w:rPr>
          <w:sz w:val="22"/>
          <w:szCs w:val="22"/>
        </w:rPr>
      </w:pPr>
      <w:r>
        <w:rPr>
          <w:b/>
          <w:bCs/>
          <w:sz w:val="22"/>
          <w:szCs w:val="22"/>
        </w:rPr>
        <w:t>Závazky smluvních stran</w:t>
      </w:r>
    </w:p>
    <w:p w:rsidR="003A31DA" w:rsidRDefault="000D1950">
      <w:pPr>
        <w:pStyle w:val="Zkladntext1"/>
        <w:numPr>
          <w:ilvl w:val="0"/>
          <w:numId w:val="1"/>
        </w:numPr>
        <w:shd w:val="clear" w:color="auto" w:fill="auto"/>
        <w:tabs>
          <w:tab w:val="left" w:pos="707"/>
        </w:tabs>
        <w:jc w:val="left"/>
      </w:pPr>
      <w:r>
        <w:t>NG se zavazuje:</w:t>
      </w:r>
    </w:p>
    <w:p w:rsidR="003A31DA" w:rsidRDefault="000D1950">
      <w:pPr>
        <w:pStyle w:val="Zkladntext1"/>
        <w:numPr>
          <w:ilvl w:val="0"/>
          <w:numId w:val="2"/>
        </w:numPr>
        <w:shd w:val="clear" w:color="auto" w:fill="auto"/>
        <w:tabs>
          <w:tab w:val="left" w:pos="1136"/>
        </w:tabs>
        <w:ind w:left="1100" w:hanging="380"/>
      </w:pPr>
      <w:r>
        <w:t>poskytnout ze svých sbírek vybraný soubor děl (dále jen sbírkové předměty), který bude tvořit předmět výstavy; a to na základě samostatné smlouvy o výpůjčce, přičemž doba výpůjčky bude sledovat časové potřeby pro instalaci a deinstalaci výstavy;</w:t>
      </w:r>
    </w:p>
    <w:p w:rsidR="003A31DA" w:rsidRDefault="000D1950">
      <w:pPr>
        <w:pStyle w:val="Zkladntext1"/>
        <w:numPr>
          <w:ilvl w:val="0"/>
          <w:numId w:val="2"/>
        </w:numPr>
        <w:shd w:val="clear" w:color="auto" w:fill="auto"/>
        <w:tabs>
          <w:tab w:val="left" w:pos="1136"/>
        </w:tabs>
        <w:ind w:left="1100" w:hanging="380"/>
      </w:pPr>
      <w:r>
        <w:t>spolupracovat při přípravě výstavy prostřednictvím odborných pracovníků Sbírky starého umění Národní galerie v Praze, provést výběr a přípravu sbírkových předmětů k vystavení;</w:t>
      </w:r>
    </w:p>
    <w:p w:rsidR="003A31DA" w:rsidRDefault="000D1950">
      <w:pPr>
        <w:pStyle w:val="Zkladntext1"/>
        <w:numPr>
          <w:ilvl w:val="0"/>
          <w:numId w:val="2"/>
        </w:numPr>
        <w:shd w:val="clear" w:color="auto" w:fill="auto"/>
        <w:tabs>
          <w:tab w:val="left" w:pos="1136"/>
        </w:tabs>
        <w:ind w:left="1100" w:hanging="380"/>
      </w:pPr>
      <w:r>
        <w:t>poskytnout potřebnou součinnost při přípravě sbírkových předmětů k transportům do místa konání výstavy, přičemž OGL je povinno zajistit a uhradit oba transporty, včetně pojištění exponátů a zajistit kurýrní doprovod. Místem předání a zpětného převzetí sbírkových předmětů je depozitář ve Veletržním paláci a Schwarzenberský palác.</w:t>
      </w:r>
    </w:p>
    <w:p w:rsidR="003A31DA" w:rsidRDefault="000D1950">
      <w:pPr>
        <w:pStyle w:val="Zkladntext1"/>
        <w:numPr>
          <w:ilvl w:val="0"/>
          <w:numId w:val="2"/>
        </w:numPr>
        <w:shd w:val="clear" w:color="auto" w:fill="auto"/>
        <w:tabs>
          <w:tab w:val="left" w:pos="1136"/>
        </w:tabs>
        <w:ind w:left="1100" w:hanging="380"/>
      </w:pPr>
      <w:r>
        <w:t>poskytnout bezúplatně digitální snímky exponátů určených k propagaci výstavy v tiskovinách OGL i médiích;</w:t>
      </w:r>
    </w:p>
    <w:p w:rsidR="003A31DA" w:rsidRDefault="000D1950">
      <w:pPr>
        <w:pStyle w:val="Zkladntext1"/>
        <w:numPr>
          <w:ilvl w:val="0"/>
          <w:numId w:val="2"/>
        </w:numPr>
        <w:shd w:val="clear" w:color="auto" w:fill="auto"/>
        <w:tabs>
          <w:tab w:val="left" w:pos="1136"/>
        </w:tabs>
        <w:spacing w:after="260"/>
        <w:ind w:left="1100" w:hanging="380"/>
      </w:pPr>
      <w:r>
        <w:t>pro účely této smlouvy a realizace výstavy poskytnout OGL svůj název a logo v elektronické podobě.</w:t>
      </w:r>
    </w:p>
    <w:p w:rsidR="003A31DA" w:rsidRDefault="000D1950">
      <w:pPr>
        <w:pStyle w:val="Zkladntext1"/>
        <w:numPr>
          <w:ilvl w:val="0"/>
          <w:numId w:val="1"/>
        </w:numPr>
        <w:shd w:val="clear" w:color="auto" w:fill="auto"/>
        <w:tabs>
          <w:tab w:val="left" w:pos="707"/>
        </w:tabs>
        <w:jc w:val="left"/>
      </w:pPr>
      <w:r>
        <w:t>OGL se zavazuje:</w:t>
      </w:r>
    </w:p>
    <w:p w:rsidR="003A31DA" w:rsidRDefault="000D1950">
      <w:pPr>
        <w:pStyle w:val="Zkladntext1"/>
        <w:numPr>
          <w:ilvl w:val="0"/>
          <w:numId w:val="3"/>
        </w:numPr>
        <w:shd w:val="clear" w:color="auto" w:fill="auto"/>
        <w:tabs>
          <w:tab w:val="left" w:pos="1136"/>
        </w:tabs>
        <w:ind w:left="1100" w:hanging="380"/>
      </w:pPr>
      <w:r>
        <w:t>zajistit výstavní prostory v budově Lázní a ručit za vypůjčené sbírkové předměty v době instalace, po dobru trvání výstavy a v době deinstalace výstavy do výše jejich pojistných hodnot; OGL odpovídá za veškerou škodu v době dle předchozí věty na sbírkových předmětech vzniklou;</w:t>
      </w:r>
    </w:p>
    <w:p w:rsidR="003A31DA" w:rsidRDefault="000D1950">
      <w:pPr>
        <w:pStyle w:val="Zkladntext1"/>
        <w:numPr>
          <w:ilvl w:val="0"/>
          <w:numId w:val="3"/>
        </w:numPr>
        <w:shd w:val="clear" w:color="auto" w:fill="auto"/>
        <w:tabs>
          <w:tab w:val="left" w:pos="1136"/>
        </w:tabs>
        <w:ind w:left="1100" w:hanging="380"/>
      </w:pPr>
      <w:r>
        <w:t>zajistit, aby výstavní prostory po celou dobu instalace, průběhu konání a dobu deinstalace výstavy splňovaly standardní mezinárodní bezpečnostní a klimatické podmínky pro vystavování uměleckých děl a uměleckých děl na papíře, jak bude upřesněno ve smlouvě o výpůjčce, a aby po celou tuto dobu byly fyzicky a elektronicky střeženy;</w:t>
      </w:r>
    </w:p>
    <w:p w:rsidR="003A31DA" w:rsidRDefault="000D1950">
      <w:pPr>
        <w:pStyle w:val="Zkladntext1"/>
        <w:numPr>
          <w:ilvl w:val="0"/>
          <w:numId w:val="3"/>
        </w:numPr>
        <w:shd w:val="clear" w:color="auto" w:fill="auto"/>
        <w:tabs>
          <w:tab w:val="left" w:pos="1136"/>
        </w:tabs>
        <w:ind w:left="1100" w:hanging="380"/>
      </w:pPr>
      <w:r>
        <w:t>zajistit a uhradit transport sbírkových předmětů do místa výstavy a po jejím ukončení zpět do NG (Veletržního paláce a Schwarzenberského paláce), včetně kurýrního doprovodu a pojištění sbírkových předmětů na dobu transportu, realizovat na své náklady instalaci a deinstalaci sbírkových předmětů ve výstavě;</w:t>
      </w:r>
    </w:p>
    <w:p w:rsidR="003A31DA" w:rsidRDefault="000D1950">
      <w:pPr>
        <w:pStyle w:val="Zkladntext1"/>
        <w:numPr>
          <w:ilvl w:val="0"/>
          <w:numId w:val="3"/>
        </w:numPr>
        <w:shd w:val="clear" w:color="auto" w:fill="auto"/>
        <w:tabs>
          <w:tab w:val="left" w:pos="1136"/>
        </w:tabs>
        <w:spacing w:line="338" w:lineRule="auto"/>
        <w:ind w:left="1100" w:hanging="380"/>
      </w:pPr>
      <w:r>
        <w:t>realizovat na své náklady výrobu popisek a další výstavní či propagační grafiky;</w:t>
      </w:r>
    </w:p>
    <w:p w:rsidR="003A31DA" w:rsidRDefault="000D1950">
      <w:pPr>
        <w:pStyle w:val="Zkladntext1"/>
        <w:numPr>
          <w:ilvl w:val="0"/>
          <w:numId w:val="3"/>
        </w:numPr>
        <w:shd w:val="clear" w:color="auto" w:fill="auto"/>
        <w:tabs>
          <w:tab w:val="left" w:pos="1136"/>
        </w:tabs>
        <w:ind w:left="1100" w:hanging="380"/>
      </w:pPr>
      <w:r>
        <w:t>bere na vědomí praxi v oblasti půjčování uměleckých děl a zavazuje se, že zašle NG 2 plakáty a 20 pozvánek na výstavu do 16. listopadu 2017</w:t>
      </w:r>
    </w:p>
    <w:p w:rsidR="003A31DA" w:rsidRDefault="000D1950">
      <w:pPr>
        <w:pStyle w:val="Zkladntext1"/>
        <w:numPr>
          <w:ilvl w:val="0"/>
          <w:numId w:val="3"/>
        </w:numPr>
        <w:shd w:val="clear" w:color="auto" w:fill="auto"/>
        <w:tabs>
          <w:tab w:val="left" w:pos="1136"/>
        </w:tabs>
        <w:ind w:left="1100" w:hanging="380"/>
      </w:pPr>
      <w:r>
        <w:t>uvádět u popisek výstavy a u reprodukcí sbírkových předmětů určených pro propagaci výstavy, že díla jsou ze sbírek Národní galerie v Praze;</w:t>
      </w:r>
    </w:p>
    <w:p w:rsidR="003A31DA" w:rsidRDefault="000D1950">
      <w:pPr>
        <w:pStyle w:val="Zkladntext1"/>
        <w:numPr>
          <w:ilvl w:val="0"/>
          <w:numId w:val="3"/>
        </w:numPr>
        <w:shd w:val="clear" w:color="auto" w:fill="auto"/>
        <w:tabs>
          <w:tab w:val="left" w:pos="1136"/>
        </w:tabs>
        <w:ind w:left="1100" w:hanging="380"/>
      </w:pPr>
      <w:r>
        <w:t>uvádět na všech tiskovinách a ve všech formách propagace souvisejících s výstavou, název a logo smluvních stran, společně s informací, že výstava je pořádána ve spolupráci OGL a NG;</w:t>
      </w:r>
    </w:p>
    <w:p w:rsidR="003A31DA" w:rsidRDefault="000D1950">
      <w:pPr>
        <w:pStyle w:val="Zkladntext1"/>
        <w:numPr>
          <w:ilvl w:val="0"/>
          <w:numId w:val="3"/>
        </w:numPr>
        <w:shd w:val="clear" w:color="auto" w:fill="auto"/>
        <w:tabs>
          <w:tab w:val="left" w:pos="1136"/>
        </w:tabs>
        <w:ind w:left="1100" w:hanging="380"/>
      </w:pPr>
      <w:r>
        <w:t>zavazuje se uhradit veškeré náklady spojené s výpůjčkou, které jsou uvedeny ve smlouvě o výpůjčce;</w:t>
      </w:r>
    </w:p>
    <w:p w:rsidR="003A31DA" w:rsidRDefault="000D1950">
      <w:pPr>
        <w:pStyle w:val="Zkladntext1"/>
        <w:numPr>
          <w:ilvl w:val="0"/>
          <w:numId w:val="3"/>
        </w:numPr>
        <w:shd w:val="clear" w:color="auto" w:fill="auto"/>
        <w:tabs>
          <w:tab w:val="left" w:pos="1136"/>
        </w:tabs>
        <w:ind w:left="1100" w:hanging="380"/>
      </w:pPr>
      <w:r>
        <w:t>zavazuje neužít digitální snímky sbírkových předmětů dodané NG jiným účelům než je propagace výstavy v tiskovinách OGL a médiích</w:t>
      </w:r>
    </w:p>
    <w:p w:rsidR="003A31DA" w:rsidRDefault="000D1950">
      <w:pPr>
        <w:pStyle w:val="Zkladntext1"/>
        <w:numPr>
          <w:ilvl w:val="0"/>
          <w:numId w:val="1"/>
        </w:numPr>
        <w:shd w:val="clear" w:color="auto" w:fill="auto"/>
        <w:tabs>
          <w:tab w:val="left" w:pos="697"/>
        </w:tabs>
      </w:pPr>
      <w:r>
        <w:lastRenderedPageBreak/>
        <w:t>Obě smluvní strany tímto projevují svůj úmysl:</w:t>
      </w:r>
    </w:p>
    <w:p w:rsidR="003A31DA" w:rsidRDefault="000D1950">
      <w:pPr>
        <w:pStyle w:val="Zkladntext1"/>
        <w:numPr>
          <w:ilvl w:val="0"/>
          <w:numId w:val="4"/>
        </w:numPr>
        <w:shd w:val="clear" w:color="auto" w:fill="auto"/>
        <w:tabs>
          <w:tab w:val="left" w:pos="1087"/>
        </w:tabs>
        <w:spacing w:after="260"/>
        <w:ind w:left="1080" w:hanging="360"/>
      </w:pPr>
      <w:r>
        <w:t>uzavřít smlouvu o výpůjčce, jejímž předmětem bude specifikace konkrétních sbírkových předmětů a bližší podmínky jejich vystavení včetně transportu do místa výstavy a zpět, odpovědnosti za škodu na sbírkových předmětech, pojištění apod.;</w:t>
      </w:r>
    </w:p>
    <w:p w:rsidR="003A31DA" w:rsidRDefault="000D1950">
      <w:pPr>
        <w:pStyle w:val="Zkladntext1"/>
        <w:numPr>
          <w:ilvl w:val="0"/>
          <w:numId w:val="1"/>
        </w:numPr>
        <w:shd w:val="clear" w:color="auto" w:fill="auto"/>
        <w:tabs>
          <w:tab w:val="left" w:pos="697"/>
        </w:tabs>
        <w:spacing w:after="260"/>
        <w:ind w:left="720" w:hanging="720"/>
      </w:pPr>
      <w:r>
        <w:t>Pokud se vyskytnou při přípravě a realizaci výstavy jakékoliv překážky, zavazují se obě smluvní strany vyvinout maximální úsilí k jejich překonání.</w:t>
      </w:r>
    </w:p>
    <w:p w:rsidR="003A31DA" w:rsidRDefault="000D1950">
      <w:pPr>
        <w:pStyle w:val="Zkladntext1"/>
        <w:numPr>
          <w:ilvl w:val="0"/>
          <w:numId w:val="1"/>
        </w:numPr>
        <w:shd w:val="clear" w:color="auto" w:fill="auto"/>
        <w:tabs>
          <w:tab w:val="left" w:pos="697"/>
        </w:tabs>
        <w:spacing w:after="560"/>
        <w:ind w:left="720" w:hanging="720"/>
      </w:pPr>
      <w:r>
        <w:t>Smluvní strany berou na vědomí, že NG je státní příspěvkovou organizací, která je vázána příslušnými předpisy upravující její působnost a pravomoc zejm. zák. č. 219/2000 Sb. Tyto skutečnosti tak nemohou zakládat předsmluvní odpovědnost ve smyslu § 1728 a § 1729 občanského zákoníku.</w:t>
      </w:r>
    </w:p>
    <w:p w:rsidR="003A31DA" w:rsidRDefault="000D1950">
      <w:pPr>
        <w:pStyle w:val="Zkladntext1"/>
        <w:shd w:val="clear" w:color="auto" w:fill="auto"/>
        <w:spacing w:line="264" w:lineRule="auto"/>
        <w:ind w:left="4400" w:firstLine="20"/>
        <w:jc w:val="left"/>
        <w:rPr>
          <w:sz w:val="22"/>
          <w:szCs w:val="22"/>
        </w:rPr>
      </w:pPr>
      <w:r>
        <w:rPr>
          <w:b/>
          <w:bCs/>
          <w:sz w:val="22"/>
          <w:szCs w:val="22"/>
        </w:rPr>
        <w:t>III.</w:t>
      </w:r>
    </w:p>
    <w:p w:rsidR="003A31DA" w:rsidRDefault="000D1950">
      <w:pPr>
        <w:pStyle w:val="Zkladntext1"/>
        <w:shd w:val="clear" w:color="auto" w:fill="auto"/>
        <w:spacing w:after="240" w:line="264" w:lineRule="auto"/>
        <w:jc w:val="center"/>
        <w:rPr>
          <w:sz w:val="22"/>
          <w:szCs w:val="22"/>
        </w:rPr>
      </w:pPr>
      <w:r>
        <w:rPr>
          <w:b/>
          <w:bCs/>
          <w:sz w:val="22"/>
          <w:szCs w:val="22"/>
        </w:rPr>
        <w:t>Náklady na výstavu a výtěžek ze vstupného</w:t>
      </w:r>
    </w:p>
    <w:p w:rsidR="003A31DA" w:rsidRDefault="000D1950">
      <w:pPr>
        <w:pStyle w:val="Zkladntext1"/>
        <w:numPr>
          <w:ilvl w:val="0"/>
          <w:numId w:val="5"/>
        </w:numPr>
        <w:shd w:val="clear" w:color="auto" w:fill="auto"/>
        <w:tabs>
          <w:tab w:val="left" w:pos="697"/>
        </w:tabs>
        <w:spacing w:after="260"/>
        <w:ind w:left="720" w:hanging="720"/>
      </w:pPr>
      <w:r>
        <w:t>Veškeré náklady spojené zejména s přípravou, konáním, provozem a ukončením výstavy (adjustaci sbírkových předmětů, transport sbírkových předmětů do místa výstavy a zpět, kurýrní doprovod, pojištění sbírkových předmětů, zajištění prostor, úklid prostor, ostraha prostor, elektrická energie, instalace, deinstalace, propagace výstavy, obsluha šatny, obsluha pokladen atd.) nese OGL</w:t>
      </w:r>
    </w:p>
    <w:p w:rsidR="003A31DA" w:rsidRDefault="000D1950">
      <w:pPr>
        <w:pStyle w:val="Zkladntext1"/>
        <w:numPr>
          <w:ilvl w:val="0"/>
          <w:numId w:val="5"/>
        </w:numPr>
        <w:shd w:val="clear" w:color="auto" w:fill="auto"/>
        <w:tabs>
          <w:tab w:val="left" w:pos="697"/>
        </w:tabs>
        <w:spacing w:after="560"/>
        <w:ind w:left="720" w:hanging="720"/>
      </w:pPr>
      <w:r>
        <w:t>Veškeré výnosy ze vstupného na tuto výstavu náleží OGL</w:t>
      </w:r>
    </w:p>
    <w:p w:rsidR="003A31DA" w:rsidRDefault="000D1950">
      <w:pPr>
        <w:pStyle w:val="Zkladntext1"/>
        <w:shd w:val="clear" w:color="auto" w:fill="auto"/>
        <w:spacing w:line="264" w:lineRule="auto"/>
        <w:ind w:left="4400" w:firstLine="20"/>
        <w:jc w:val="left"/>
        <w:rPr>
          <w:sz w:val="22"/>
          <w:szCs w:val="22"/>
        </w:rPr>
      </w:pPr>
      <w:r>
        <w:rPr>
          <w:b/>
          <w:bCs/>
          <w:sz w:val="22"/>
          <w:szCs w:val="22"/>
        </w:rPr>
        <w:t>IV.</w:t>
      </w:r>
    </w:p>
    <w:p w:rsidR="003A31DA" w:rsidRDefault="000D1950">
      <w:pPr>
        <w:pStyle w:val="Zkladntext1"/>
        <w:shd w:val="clear" w:color="auto" w:fill="auto"/>
        <w:spacing w:after="240" w:line="264" w:lineRule="auto"/>
        <w:jc w:val="center"/>
        <w:rPr>
          <w:sz w:val="22"/>
          <w:szCs w:val="22"/>
        </w:rPr>
      </w:pPr>
      <w:r>
        <w:rPr>
          <w:b/>
          <w:bCs/>
          <w:sz w:val="22"/>
          <w:szCs w:val="22"/>
        </w:rPr>
        <w:t>Ostatní ujednání</w:t>
      </w:r>
    </w:p>
    <w:p w:rsidR="003A31DA" w:rsidRDefault="000D1950">
      <w:pPr>
        <w:pStyle w:val="Zkladntext1"/>
        <w:shd w:val="clear" w:color="auto" w:fill="auto"/>
      </w:pPr>
      <w:r>
        <w:t>Pro realizaci předmětu této smlouvy smluvní strany sjednávají kontaktní zaměstnance, kterými jsou:</w:t>
      </w:r>
    </w:p>
    <w:p w:rsidR="003A31DA" w:rsidRDefault="000D1950">
      <w:pPr>
        <w:pStyle w:val="Zkladntext1"/>
        <w:shd w:val="clear" w:color="auto" w:fill="auto"/>
        <w:ind w:left="720" w:hanging="720"/>
      </w:pPr>
      <w:r>
        <w:t xml:space="preserve">za OGL: </w:t>
      </w:r>
      <w:r w:rsidR="000D58DC">
        <w:t>XXXXXXXXXXXXXXXX</w:t>
      </w:r>
      <w:r>
        <w:t>, kurátorka sbírky obrazů, e-mail:</w:t>
      </w:r>
    </w:p>
    <w:p w:rsidR="003A31DA" w:rsidRDefault="000D58DC">
      <w:pPr>
        <w:pStyle w:val="Zkladntext1"/>
        <w:shd w:val="clear" w:color="auto" w:fill="auto"/>
        <w:ind w:left="720" w:hanging="720"/>
      </w:pPr>
      <w:r>
        <w:t>XXXXXXXXXXXXXXXXX</w:t>
      </w:r>
    </w:p>
    <w:p w:rsidR="003A31DA" w:rsidRDefault="000D1950" w:rsidP="000D58DC">
      <w:pPr>
        <w:pStyle w:val="Zkladntext1"/>
        <w:shd w:val="clear" w:color="auto" w:fill="auto"/>
        <w:jc w:val="left"/>
      </w:pPr>
      <w:r>
        <w:t xml:space="preserve">za NG: </w:t>
      </w:r>
      <w:r w:rsidR="000D58DC">
        <w:t>XXXXXXXXXXXXXXXXX</w:t>
      </w:r>
      <w:r>
        <w:t xml:space="preserve"> kurátorka Sbírky starého umění, e-mail: </w:t>
      </w:r>
    </w:p>
    <w:p w:rsidR="000D58DC" w:rsidRDefault="000D58DC" w:rsidP="000D58DC">
      <w:pPr>
        <w:pStyle w:val="Zkladntext1"/>
        <w:shd w:val="clear" w:color="auto" w:fill="auto"/>
        <w:jc w:val="left"/>
      </w:pPr>
      <w:r>
        <w:t>XXXXXXXXXXXXXXXXXXX</w:t>
      </w:r>
    </w:p>
    <w:p w:rsidR="000D58DC" w:rsidRDefault="000D58DC" w:rsidP="000D58DC">
      <w:pPr>
        <w:pStyle w:val="Zkladntext1"/>
        <w:shd w:val="clear" w:color="auto" w:fill="auto"/>
        <w:jc w:val="left"/>
      </w:pPr>
    </w:p>
    <w:p w:rsidR="000D58DC" w:rsidRDefault="000D58DC" w:rsidP="000D58DC">
      <w:pPr>
        <w:pStyle w:val="Zkladntext1"/>
        <w:shd w:val="clear" w:color="auto" w:fill="auto"/>
        <w:jc w:val="left"/>
      </w:pPr>
    </w:p>
    <w:p w:rsidR="003A31DA" w:rsidRDefault="000D1950">
      <w:pPr>
        <w:pStyle w:val="Zkladntext1"/>
        <w:shd w:val="clear" w:color="auto" w:fill="auto"/>
        <w:ind w:left="4400" w:firstLine="20"/>
        <w:jc w:val="left"/>
        <w:rPr>
          <w:sz w:val="22"/>
          <w:szCs w:val="22"/>
        </w:rPr>
      </w:pPr>
      <w:r>
        <w:rPr>
          <w:b/>
          <w:bCs/>
          <w:sz w:val="22"/>
          <w:szCs w:val="22"/>
        </w:rPr>
        <w:t>V.</w:t>
      </w:r>
    </w:p>
    <w:p w:rsidR="003A31DA" w:rsidRDefault="000D1950">
      <w:pPr>
        <w:pStyle w:val="Zkladntext1"/>
        <w:shd w:val="clear" w:color="auto" w:fill="auto"/>
        <w:spacing w:after="260"/>
        <w:jc w:val="center"/>
        <w:rPr>
          <w:sz w:val="22"/>
          <w:szCs w:val="22"/>
        </w:rPr>
      </w:pPr>
      <w:r>
        <w:rPr>
          <w:b/>
          <w:bCs/>
          <w:sz w:val="22"/>
          <w:szCs w:val="22"/>
        </w:rPr>
        <w:t>Závěrečná ustanovení</w:t>
      </w:r>
    </w:p>
    <w:p w:rsidR="003A31DA" w:rsidRDefault="000D1950">
      <w:pPr>
        <w:pStyle w:val="Zkladntext1"/>
        <w:numPr>
          <w:ilvl w:val="0"/>
          <w:numId w:val="6"/>
        </w:numPr>
        <w:shd w:val="clear" w:color="auto" w:fill="auto"/>
        <w:tabs>
          <w:tab w:val="left" w:pos="697"/>
        </w:tabs>
        <w:spacing w:after="260"/>
        <w:ind w:left="720" w:hanging="720"/>
        <w:jc w:val="left"/>
      </w:pPr>
      <w:r>
        <w:t>Veškeré vztahy, které nejsou přímo upraveny touto smlouvou se řídí zák. č. 89/2012 Sb., občanským zákoníkem.</w:t>
      </w:r>
    </w:p>
    <w:p w:rsidR="003A31DA" w:rsidRDefault="000D1950">
      <w:pPr>
        <w:pStyle w:val="Zkladntext1"/>
        <w:numPr>
          <w:ilvl w:val="0"/>
          <w:numId w:val="6"/>
        </w:numPr>
        <w:shd w:val="clear" w:color="auto" w:fill="auto"/>
        <w:tabs>
          <w:tab w:val="left" w:pos="697"/>
        </w:tabs>
        <w:spacing w:after="260"/>
        <w:ind w:left="720" w:hanging="720"/>
      </w:pPr>
      <w:r>
        <w:t>Tato smlouva se uzavírá na dobu určitou (viz článek 5.4. písm. a) této smlouvy).</w:t>
      </w:r>
    </w:p>
    <w:p w:rsidR="003A31DA" w:rsidRDefault="000D1950">
      <w:pPr>
        <w:pStyle w:val="Zkladntext1"/>
        <w:numPr>
          <w:ilvl w:val="0"/>
          <w:numId w:val="6"/>
        </w:numPr>
        <w:shd w:val="clear" w:color="auto" w:fill="auto"/>
        <w:tabs>
          <w:tab w:val="left" w:pos="697"/>
        </w:tabs>
        <w:spacing w:after="260"/>
        <w:ind w:left="720" w:hanging="720"/>
        <w:sectPr w:rsidR="003A31DA">
          <w:pgSz w:w="11900" w:h="16840"/>
          <w:pgMar w:top="2087" w:right="1358" w:bottom="1571" w:left="1394" w:header="0" w:footer="3" w:gutter="0"/>
          <w:cols w:space="720"/>
          <w:noEndnote/>
          <w:docGrid w:linePitch="360"/>
        </w:sectPr>
      </w:pPr>
      <w:r>
        <w:t>Veškeré změny či doplňky této smlouvy jsou možné pouze ve formě vzestupně číslovaného písemného dodatku, po dohodě obou smluvních stran, jinak jsou neplatné.</w:t>
      </w:r>
    </w:p>
    <w:p w:rsidR="003A31DA" w:rsidRDefault="000D1950">
      <w:pPr>
        <w:pStyle w:val="Zkladntext1"/>
        <w:numPr>
          <w:ilvl w:val="0"/>
          <w:numId w:val="6"/>
        </w:numPr>
        <w:shd w:val="clear" w:color="auto" w:fill="auto"/>
        <w:tabs>
          <w:tab w:val="left" w:pos="700"/>
        </w:tabs>
        <w:ind w:left="680" w:hanging="680"/>
      </w:pPr>
      <w:r>
        <w:lastRenderedPageBreak/>
        <w:t>Tato smlouva končí zejména:</w:t>
      </w:r>
    </w:p>
    <w:p w:rsidR="003A31DA" w:rsidRDefault="000D1950">
      <w:pPr>
        <w:pStyle w:val="Zkladntext1"/>
        <w:numPr>
          <w:ilvl w:val="0"/>
          <w:numId w:val="7"/>
        </w:numPr>
        <w:shd w:val="clear" w:color="auto" w:fill="auto"/>
        <w:tabs>
          <w:tab w:val="left" w:pos="986"/>
        </w:tabs>
        <w:ind w:left="680" w:firstLine="40"/>
      </w:pPr>
      <w:r>
        <w:t>splněním předmětu smlouvy, tj. uskutečněním výstavy a vypořádáním veškerých souvisejících závazků;</w:t>
      </w:r>
    </w:p>
    <w:p w:rsidR="003A31DA" w:rsidRDefault="000D1950">
      <w:pPr>
        <w:pStyle w:val="Zkladntext1"/>
        <w:numPr>
          <w:ilvl w:val="0"/>
          <w:numId w:val="7"/>
        </w:numPr>
        <w:shd w:val="clear" w:color="auto" w:fill="auto"/>
        <w:tabs>
          <w:tab w:val="left" w:pos="1051"/>
        </w:tabs>
        <w:spacing w:after="40"/>
        <w:ind w:left="900" w:hanging="180"/>
      </w:pPr>
      <w:r>
        <w:t>písemnou dohodou smluvních stran;</w:t>
      </w:r>
    </w:p>
    <w:p w:rsidR="003A31DA" w:rsidRDefault="000D1950">
      <w:pPr>
        <w:pStyle w:val="Zkladntext1"/>
        <w:numPr>
          <w:ilvl w:val="0"/>
          <w:numId w:val="7"/>
        </w:numPr>
        <w:shd w:val="clear" w:color="auto" w:fill="auto"/>
        <w:tabs>
          <w:tab w:val="left" w:pos="1051"/>
        </w:tabs>
        <w:spacing w:after="260" w:line="266" w:lineRule="auto"/>
        <w:ind w:left="900" w:hanging="180"/>
      </w:pPr>
      <w:r>
        <w:t>odstoupením od smlouvy kterékoliv ze smluvních stran v případě hrubého porušení některého ustanovení této smlouvy druhou smluvní stranou. Odstoupení je účinné doručením druhé smluvní straně na adresu uvedenou v této smlouvě.</w:t>
      </w:r>
    </w:p>
    <w:p w:rsidR="003A31DA" w:rsidRDefault="000D1950">
      <w:pPr>
        <w:pStyle w:val="Zkladntext1"/>
        <w:numPr>
          <w:ilvl w:val="0"/>
          <w:numId w:val="8"/>
        </w:numPr>
        <w:shd w:val="clear" w:color="auto" w:fill="auto"/>
        <w:tabs>
          <w:tab w:val="left" w:pos="700"/>
        </w:tabs>
        <w:ind w:left="680" w:hanging="680"/>
      </w:pPr>
      <w:r>
        <w:t>Tato smlouva je vyhotovena ve čtyřech výtiscích, kdy NG obdrží dvě vyhotovení a</w:t>
      </w:r>
    </w:p>
    <w:p w:rsidR="003A31DA" w:rsidRDefault="000D1950">
      <w:pPr>
        <w:pStyle w:val="Zkladntext1"/>
        <w:shd w:val="clear" w:color="auto" w:fill="auto"/>
        <w:spacing w:after="260"/>
        <w:ind w:left="900" w:hanging="180"/>
      </w:pPr>
      <w:r>
        <w:t>OGL obdrží dvě vyhotovení.</w:t>
      </w:r>
    </w:p>
    <w:p w:rsidR="003A31DA" w:rsidRDefault="000D1950">
      <w:pPr>
        <w:pStyle w:val="Zkladntext1"/>
        <w:numPr>
          <w:ilvl w:val="0"/>
          <w:numId w:val="8"/>
        </w:numPr>
        <w:shd w:val="clear" w:color="auto" w:fill="auto"/>
        <w:tabs>
          <w:tab w:val="left" w:pos="700"/>
        </w:tabs>
        <w:spacing w:after="820"/>
        <w:ind w:left="680" w:hanging="680"/>
      </w:pPr>
      <w:r>
        <w:t>Pro případ povinnosti uveřejnění této smlouvy dle zákona č. 340/2015 Sb., o zvláštních podmínkách účinnosti některých smluv, uveřejňování těchto smluv a o registru smluv (zákon o registru smluv) smluvní strany sjednávají, že uveřejnění provede NG. Obě strany berou na vědomí, že nebudou uveřejněny pouze ty informace, které nelze poskytnout podle předpisů upravujících svobodn</w:t>
      </w:r>
      <w:r w:rsidR="000D58DC">
        <w:t>ý přístup k informacím. Považuj</w:t>
      </w:r>
      <w:r>
        <w:t>e-li druhá smluvní strana některé informace uvedené v této smlouvě za informace, které nemají být uveřejněny v registru smluv dle zákona o registru smluv, je povinna na to Národní galerii v Praze současně s uzavřením této smlouvy písemně upozornit. Pokud se na tuto smlouvu vztahuje povinnost uveřejnění prostřednictvím registru smluv, nabývá tato smlouva účinnosti nejdříve dnem uveřejnění, ledaže se smluvní strany touto smlouvou dohodly na pozdějším datu účinnosti. OGL výslovně souhlasí s tím, že NG v případě pochybností o tom, zda je dána povinnost uveřejnění této smlouvy v registru smluv, tuto smlouvu v zájmu transparentnosti a právní jistoty uveřejní.</w:t>
      </w:r>
    </w:p>
    <w:p w:rsidR="003A31DA" w:rsidRDefault="000D1950" w:rsidP="000D58DC">
      <w:pPr>
        <w:pStyle w:val="Zkladntext1"/>
        <w:shd w:val="clear" w:color="auto" w:fill="auto"/>
        <w:ind w:left="3540" w:firstLine="708"/>
        <w:sectPr w:rsidR="003A31DA">
          <w:footerReference w:type="default" r:id="rId7"/>
          <w:pgSz w:w="11900" w:h="16840"/>
          <w:pgMar w:top="2206" w:right="1351" w:bottom="3601" w:left="1415" w:header="0" w:footer="3" w:gutter="0"/>
          <w:cols w:space="720"/>
          <w:noEndnote/>
          <w:docGrid w:linePitch="360"/>
        </w:sect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893445</wp:posOffset>
                </wp:positionH>
                <wp:positionV relativeFrom="paragraph">
                  <wp:posOffset>13335</wp:posOffset>
                </wp:positionV>
                <wp:extent cx="2073910" cy="26606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073910" cy="266065"/>
                        </a:xfrm>
                        <a:prstGeom prst="rect">
                          <a:avLst/>
                        </a:prstGeom>
                        <a:noFill/>
                      </wps:spPr>
                      <wps:txbx>
                        <w:txbxContent>
                          <w:p w:rsidR="003A31DA" w:rsidRDefault="000D1950">
                            <w:pPr>
                              <w:pStyle w:val="Zkladntext1"/>
                              <w:shd w:val="clear" w:color="auto" w:fill="auto"/>
                              <w:jc w:val="left"/>
                            </w:pPr>
                            <w:r>
                              <w:t>V Praze dne</w:t>
                            </w:r>
                            <w:r w:rsidR="000D58DC">
                              <w:t xml:space="preserve">  29. 6. 2017</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70.35pt;margin-top:1.05pt;width:163.3pt;height:20.95pt;z-index:1258293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" filled="f" stroked="f">
                <v:textbox inset="0,0,0,0">
                  <w:txbxContent>
                    <w:p w:rsidR="003A31DA" w:rsidRDefault="000D1950">
                      <w:pPr>
                        <w:pStyle w:val="Zkladntext1"/>
                        <w:shd w:val="clear" w:color="auto" w:fill="auto"/>
                        <w:jc w:val="left"/>
                      </w:pPr>
                      <w:r>
                        <w:t xml:space="preserve">V Praze </w:t>
                      </w:r>
                      <w:proofErr w:type="gramStart"/>
                      <w:r>
                        <w:t>dne</w:t>
                      </w:r>
                      <w:r w:rsidR="000D58DC">
                        <w:t xml:space="preserve">  29</w:t>
                      </w:r>
                      <w:proofErr w:type="gramEnd"/>
                      <w:r w:rsidR="000D58DC">
                        <w:t>. 6. 2017</w:t>
                      </w:r>
                    </w:p>
                  </w:txbxContent>
                </v:textbox>
                <w10:wrap type="square" anchorx="page"/>
              </v:shape>
            </w:pict>
          </mc:Fallback>
        </mc:AlternateContent>
      </w:r>
      <w:r>
        <w:t>V Liberci dne</w:t>
      </w:r>
      <w:r w:rsidR="000D58DC">
        <w:t xml:space="preserve">  26. 7. 2017</w:t>
      </w:r>
    </w:p>
    <w:p w:rsidR="003A31DA" w:rsidRDefault="003A31DA">
      <w:pPr>
        <w:spacing w:line="240" w:lineRule="exact"/>
        <w:rPr>
          <w:sz w:val="19"/>
          <w:szCs w:val="19"/>
        </w:rPr>
      </w:pPr>
    </w:p>
    <w:p w:rsidR="003A31DA" w:rsidRDefault="003A31DA">
      <w:pPr>
        <w:spacing w:before="83" w:after="83" w:line="240" w:lineRule="exact"/>
        <w:rPr>
          <w:sz w:val="19"/>
          <w:szCs w:val="19"/>
        </w:rPr>
      </w:pPr>
    </w:p>
    <w:p w:rsidR="003A31DA" w:rsidRDefault="003A31DA">
      <w:pPr>
        <w:spacing w:line="14" w:lineRule="exact"/>
        <w:sectPr w:rsidR="003A31DA">
          <w:type w:val="continuous"/>
          <w:pgSz w:w="11900" w:h="16840"/>
          <w:pgMar w:top="2206" w:right="0" w:bottom="3701" w:left="0" w:header="0" w:footer="3" w:gutter="0"/>
          <w:cols w:space="720"/>
          <w:noEndnote/>
          <w:docGrid w:linePitch="360"/>
        </w:sectPr>
      </w:pPr>
    </w:p>
    <w:p w:rsidR="000D58DC" w:rsidRDefault="000D58DC">
      <w:pPr>
        <w:spacing w:line="14" w:lineRule="exact"/>
      </w:pPr>
    </w:p>
    <w:p w:rsidR="000D58DC" w:rsidRPr="000D58DC" w:rsidRDefault="000D58DC" w:rsidP="000D58DC"/>
    <w:p w:rsidR="000D58DC" w:rsidRDefault="000D58DC" w:rsidP="000D58DC"/>
    <w:p w:rsidR="000D58DC" w:rsidRDefault="000D58DC" w:rsidP="000D58DC">
      <w:r>
        <w:t>………………………………..</w:t>
      </w:r>
      <w:r>
        <w:tab/>
      </w:r>
      <w:r>
        <w:tab/>
        <w:t>……………………………………</w:t>
      </w:r>
    </w:p>
    <w:p w:rsidR="005C2F8E" w:rsidRDefault="000D58DC" w:rsidP="000D58DC">
      <w:pPr>
        <w:rPr>
          <w:rFonts w:ascii="Times New Roman" w:hAnsi="Times New Roman" w:cs="Times New Roman"/>
        </w:rPr>
      </w:pPr>
      <w:r w:rsidRPr="000D58DC">
        <w:rPr>
          <w:rFonts w:ascii="Times New Roman" w:hAnsi="Times New Roman" w:cs="Times New Roman"/>
        </w:rPr>
        <w:t>Doc.</w:t>
      </w:r>
      <w:r>
        <w:rPr>
          <w:rFonts w:ascii="Times New Roman" w:hAnsi="Times New Roman" w:cs="Times New Roman"/>
        </w:rPr>
        <w:t xml:space="preserve"> Dr,. et Ing. Jiří Fajt Ph.D.</w:t>
      </w:r>
    </w:p>
    <w:p w:rsidR="005C2F8E" w:rsidRPr="005C2F8E" w:rsidRDefault="005C2F8E" w:rsidP="005C2F8E">
      <w:pPr>
        <w:rPr>
          <w:rFonts w:ascii="Times New Roman" w:hAnsi="Times New Roman" w:cs="Times New Roman"/>
        </w:rPr>
      </w:pPr>
    </w:p>
    <w:p w:rsidR="005C2F8E" w:rsidRPr="005C2F8E" w:rsidRDefault="005C2F8E" w:rsidP="005C2F8E">
      <w:pPr>
        <w:rPr>
          <w:rFonts w:ascii="Times New Roman" w:hAnsi="Times New Roman" w:cs="Times New Roman"/>
        </w:rPr>
      </w:pPr>
    </w:p>
    <w:p w:rsidR="000D58DC" w:rsidRPr="005C2F8E" w:rsidRDefault="005C2F8E" w:rsidP="005C2F8E">
      <w:pPr>
        <w:tabs>
          <w:tab w:val="left" w:pos="5663"/>
        </w:tabs>
        <w:rPr>
          <w:rFonts w:ascii="Times New Roman" w:hAnsi="Times New Roman" w:cs="Times New Roman"/>
        </w:rPr>
      </w:pPr>
      <w:r>
        <w:rPr>
          <w:rFonts w:ascii="Times New Roman" w:hAnsi="Times New Roman" w:cs="Times New Roman"/>
        </w:rPr>
        <w:tab/>
      </w:r>
    </w:p>
    <w:sectPr w:rsidR="000D58DC" w:rsidRPr="005C2F8E">
      <w:type w:val="continuous"/>
      <w:pgSz w:w="11900" w:h="16840"/>
      <w:pgMar w:top="2206" w:right="1351" w:bottom="3701" w:left="14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766" w:rsidRDefault="00DA7766">
      <w:r>
        <w:separator/>
      </w:r>
    </w:p>
  </w:endnote>
  <w:endnote w:type="continuationSeparator" w:id="0">
    <w:p w:rsidR="00DA7766" w:rsidRDefault="00DA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1DA" w:rsidRDefault="000D1950">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4471670</wp:posOffset>
              </wp:positionH>
              <wp:positionV relativeFrom="page">
                <wp:posOffset>8279765</wp:posOffset>
              </wp:positionV>
              <wp:extent cx="88900" cy="71120"/>
              <wp:effectExtent l="0" t="0" r="0" b="0"/>
              <wp:wrapNone/>
              <wp:docPr id="1" name="Shape 1"/>
              <wp:cNvGraphicFramePr/>
              <a:graphic xmlns:a="http://schemas.openxmlformats.org/drawingml/2006/main">
                <a:graphicData uri="http://schemas.microsoft.com/office/word/2010/wordprocessingShape">
                  <wps:wsp>
                    <wps:cNvSpPr txBox="1"/>
                    <wps:spPr>
                      <a:xfrm>
                        <a:off x="0" y="0"/>
                        <a:ext cx="88900" cy="71120"/>
                      </a:xfrm>
                      <a:prstGeom prst="rect">
                        <a:avLst/>
                      </a:prstGeom>
                      <a:noFill/>
                    </wps:spPr>
                    <wps:txbx>
                      <w:txbxContent>
                        <w:p w:rsidR="003A31DA" w:rsidRDefault="000D1950">
                          <w:pPr>
                            <w:pStyle w:val="Zhlavnebozpat20"/>
                            <w:shd w:val="clear" w:color="auto" w:fill="auto"/>
                            <w:rPr>
                              <w:sz w:val="17"/>
                              <w:szCs w:val="17"/>
                            </w:rPr>
                          </w:pPr>
                          <w:r>
                            <w:rPr>
                              <w:rFonts w:ascii="Arial" w:eastAsia="Arial" w:hAnsi="Arial" w:cs="Arial"/>
                              <w:sz w:val="17"/>
                              <w:szCs w:val="17"/>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52.10000000000002pt;margin-top:651.95000000000005pt;width:7.pt;height:5.5999999999999996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766" w:rsidRDefault="00DA7766"/>
  </w:footnote>
  <w:footnote w:type="continuationSeparator" w:id="0">
    <w:p w:rsidR="00DA7766" w:rsidRDefault="00DA776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4E69"/>
    <w:multiLevelType w:val="multilevel"/>
    <w:tmpl w:val="9DCE70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59207A"/>
    <w:multiLevelType w:val="multilevel"/>
    <w:tmpl w:val="2FD0B1AA"/>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916415"/>
    <w:multiLevelType w:val="multilevel"/>
    <w:tmpl w:val="79FC4C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D74BF1"/>
    <w:multiLevelType w:val="multilevel"/>
    <w:tmpl w:val="649E75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AA2281"/>
    <w:multiLevelType w:val="multilevel"/>
    <w:tmpl w:val="F3DE0B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561E3B"/>
    <w:multiLevelType w:val="multilevel"/>
    <w:tmpl w:val="CC78CB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5416D4"/>
    <w:multiLevelType w:val="multilevel"/>
    <w:tmpl w:val="E62A7F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B94134"/>
    <w:multiLevelType w:val="multilevel"/>
    <w:tmpl w:val="50B6A9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2"/>
  </w:num>
  <w:num w:numId="4">
    <w:abstractNumId w:val="3"/>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DA"/>
    <w:rsid w:val="000D1950"/>
    <w:rsid w:val="000D58DC"/>
    <w:rsid w:val="003A31DA"/>
    <w:rsid w:val="005C2F8E"/>
    <w:rsid w:val="00DA7766"/>
    <w:rsid w:val="00E34C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D1EF"/>
  <w15:docId w15:val="{B138730B-5401-48FE-BC96-C5F3415D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5"/>
      <w:szCs w:val="15"/>
      <w:u w:val="none"/>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spacing w:line="276" w:lineRule="auto"/>
      <w:ind w:left="280"/>
    </w:pPr>
    <w:rPr>
      <w:rFonts w:ascii="Arial" w:eastAsia="Arial" w:hAnsi="Arial" w:cs="Arial"/>
      <w:sz w:val="15"/>
      <w:szCs w:val="15"/>
    </w:rPr>
  </w:style>
  <w:style w:type="character" w:styleId="Hypertextovodkaz">
    <w:name w:val="Hyperlink"/>
    <w:basedOn w:val="Standardnpsmoodstavce"/>
    <w:uiPriority w:val="99"/>
    <w:unhideWhenUsed/>
    <w:rsid w:val="000D58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1059</Words>
  <Characters>6251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c224.pk.gr-20170818085722</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c224.pk.gr-20170818085722</dc:title>
  <dc:subject/>
  <dc:creator/>
  <cp:keywords/>
  <cp:lastModifiedBy>Zdenka Šímová</cp:lastModifiedBy>
  <cp:revision>3</cp:revision>
  <dcterms:created xsi:type="dcterms:W3CDTF">2017-08-18T07:11:00Z</dcterms:created>
  <dcterms:modified xsi:type="dcterms:W3CDTF">2017-08-18T07:24:00Z</dcterms:modified>
</cp:coreProperties>
</file>