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646"/>
        <w:gridCol w:w="862"/>
        <w:gridCol w:w="215"/>
        <w:gridCol w:w="431"/>
        <w:gridCol w:w="1616"/>
        <w:gridCol w:w="431"/>
        <w:gridCol w:w="646"/>
        <w:gridCol w:w="215"/>
        <w:gridCol w:w="324"/>
        <w:gridCol w:w="754"/>
        <w:gridCol w:w="753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MC22-R-ORS00015/2025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*MC22X00BAP6V*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MC22X00BAP6V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12.05.2025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Králová Ivana  DiS.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ZŠ ROMANCE – Kontrola dílčích částí rozpočtu HSV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Michael Šedlbauer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Edvarda Beneše 1809/30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30100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Plzeň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07598530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ZŠ Romance - Kontrola rozpočtu HSV </w:t>
              <w:br/>
              <w:t>Specifikace:</w:t>
              <w:br/>
              <w:t>Jedná se o kontrolu úplnosti rozpočtových položek na HSV oproti projektové dokumentace</w:t>
              <w:br/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 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239 580,00 Kč</w:t>
            </w:r>
          </w:p>
        </w:tc>
        <w:tc>
          <w:tcPr>
            <w:gridSpan w:val="7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 případě, že dodavatel uzná, že se jedná o stavební nebo montážní práce (kód CZ-CPA 41-43), prohlašujeme, že předmět objednávky není určen k ekonomické činnosti MČ, proto nebude uplatněn režim přenesené daňové povinnost dle § 92e zákona o DPH.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Ostatní ujednání: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Dodavatel v rámci plnění zajistí úklid prostoru po opravě či plnění v rámci dodávky  a rovněž tak odvoz a likvidaci odpadu vzniklého při opravě či plnění v rámci dodávky, a to vše na svůj náklad.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Dodavatel zajistí osobní předání dodávky pracovníkovi ÚMČ Praha 22 uvedenému na objednávce. Bez osobní předávky nebude plnění považováno za uskutečněné.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