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6F7DB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917D21" w:rsidRDefault="009D3A2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S/02615/UL/25</w:t>
      </w:r>
    </w:p>
    <w:p w:rsidR="00917D21" w:rsidRDefault="009D3A2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02615/UL/25</w:t>
      </w:r>
    </w:p>
    <w:p w:rsidR="00917D21" w:rsidRDefault="009D3A2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0023/53/25</w:t>
      </w:r>
    </w:p>
    <w:p w:rsidR="00917D21" w:rsidRDefault="009D3A2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EA0E2A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6F7DB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B04D8F">
        <w:rPr>
          <w:rFonts w:ascii="Arial" w:hAnsi="Arial" w:cs="Arial"/>
        </w:rPr>
        <w:t>Ing. V</w:t>
      </w:r>
      <w:r w:rsidR="00211DD4">
        <w:rPr>
          <w:rFonts w:ascii="Arial" w:hAnsi="Arial" w:cs="Arial"/>
        </w:rPr>
        <w:t>ladislav Kopecký</w:t>
      </w:r>
      <w:r w:rsidR="00FF6FA8" w:rsidRPr="009008C5">
        <w:rPr>
          <w:rFonts w:ascii="Arial" w:hAnsi="Arial" w:cs="Arial"/>
        </w:rPr>
        <w:t xml:space="preserve">, </w:t>
      </w:r>
      <w:r w:rsidR="00211DD4">
        <w:rPr>
          <w:rFonts w:ascii="Arial" w:hAnsi="Arial" w:cs="Arial"/>
        </w:rPr>
        <w:t>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Jana Holubcová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6F7DB2" w:rsidP="00E6249C">
      <w:pPr>
        <w:spacing w:before="40" w:after="0"/>
      </w:pPr>
      <w:r>
        <w:rPr>
          <w:rFonts w:ascii="Arial" w:hAnsi="Arial" w:cs="Arial"/>
          <w:b/>
        </w:rPr>
        <w:t>Lesy České republiky, s.</w:t>
      </w:r>
      <w:r w:rsidR="00211D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</w:t>
      </w:r>
      <w:r w:rsidR="00211DD4">
        <w:rPr>
          <w:rFonts w:ascii="Arial" w:hAnsi="Arial" w:cs="Arial"/>
          <w:b/>
        </w:rPr>
        <w:t>, Lesní správa Litoměřice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211DD4">
        <w:rPr>
          <w:rFonts w:ascii="Arial" w:hAnsi="Arial" w:cs="Arial"/>
        </w:rPr>
        <w:t>Masarykova 665/31, Litoměřice, 412 01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2015210237/0100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i7s2ceu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Petr Chvála</w:t>
      </w:r>
      <w:r w:rsidR="00211DD4">
        <w:rPr>
          <w:rFonts w:ascii="Arial" w:hAnsi="Arial" w:cs="Arial"/>
        </w:rPr>
        <w:t>, lesní správce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02286E">
        <w:rPr>
          <w:rFonts w:ascii="Arial" w:hAnsi="Arial" w:cs="Arial"/>
        </w:rPr>
        <w:t>„xxxx“</w:t>
      </w:r>
      <w:r w:rsidR="00CF1409">
        <w:rPr>
          <w:rFonts w:ascii="Arial" w:hAnsi="Arial" w:cs="Arial"/>
        </w:rPr>
        <w:t>, telefon:</w:t>
      </w:r>
      <w:r w:rsidR="0002286E">
        <w:rPr>
          <w:rFonts w:ascii="Arial" w:hAnsi="Arial" w:cs="Arial"/>
        </w:rPr>
        <w:t>“xxxx“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02286E">
        <w:rPr>
          <w:rFonts w:ascii="Arial" w:hAnsi="Arial" w:cs="Arial"/>
        </w:rPr>
        <w:t>„xxxx“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211DD4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p.</w:t>
      </w:r>
      <w:r w:rsidR="00211DD4">
        <w:rPr>
          <w:rFonts w:ascii="Arial" w:hAnsi="Arial" w:cs="Arial"/>
        </w:rPr>
        <w:t xml:space="preserve"> č. 1729 a</w:t>
      </w:r>
      <w:r>
        <w:rPr>
          <w:rFonts w:ascii="Arial" w:hAnsi="Arial" w:cs="Arial"/>
        </w:rPr>
        <w:t xml:space="preserve"> 1744</w:t>
      </w:r>
      <w:r w:rsidR="00211DD4">
        <w:rPr>
          <w:rFonts w:ascii="Arial" w:hAnsi="Arial" w:cs="Arial"/>
        </w:rPr>
        <w:t xml:space="preserve"> v k. ú. Velemín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EVL Milešovka</w:t>
      </w:r>
      <w:r w:rsidR="00330185">
        <w:t xml:space="preserve"> </w:t>
      </w:r>
      <w:r w:rsidRPr="007A2884">
        <w:t>z důvodu ochrany přírody dle §</w:t>
      </w:r>
      <w:r w:rsidR="001247D7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1247D7" w:rsidRDefault="00A42D75" w:rsidP="00CA4A80">
      <w:pPr>
        <w:pStyle w:val="Nadpis2"/>
        <w:ind w:left="397" w:hanging="397"/>
        <w:rPr>
          <w:spacing w:val="-4"/>
        </w:rPr>
      </w:pPr>
      <w:r w:rsidRPr="001247D7">
        <w:rPr>
          <w:spacing w:val="-4"/>
        </w:rPr>
        <w:t xml:space="preserve">Touto Dohodou se </w:t>
      </w:r>
      <w:r w:rsidR="00295AF2" w:rsidRPr="001247D7">
        <w:rPr>
          <w:spacing w:val="-4"/>
        </w:rPr>
        <w:t>hospodařící subjekt</w:t>
      </w:r>
      <w:r w:rsidR="00332689" w:rsidRPr="001247D7">
        <w:rPr>
          <w:spacing w:val="-4"/>
        </w:rPr>
        <w:t xml:space="preserve"> </w:t>
      </w:r>
      <w:r w:rsidRPr="001247D7">
        <w:rPr>
          <w:spacing w:val="-4"/>
        </w:rPr>
        <w:t>zavazuje realizovat managementová opatření z důvodu ochrany přírody v rozsahu, termínu a způsobem specifikovaným v čl. II. této Dohody, dle pokynů AOPK ČR. AOPK ČR se zavazuje poskytnout</w:t>
      </w:r>
      <w:r w:rsidR="002F517E" w:rsidRPr="001247D7">
        <w:rPr>
          <w:spacing w:val="-4"/>
        </w:rPr>
        <w:t xml:space="preserve"> </w:t>
      </w:r>
      <w:r w:rsidR="00295AF2" w:rsidRPr="001247D7">
        <w:rPr>
          <w:spacing w:val="-4"/>
        </w:rPr>
        <w:t>hospodařícímu subjektu</w:t>
      </w:r>
      <w:r w:rsidR="00332689" w:rsidRPr="001247D7">
        <w:rPr>
          <w:spacing w:val="-4"/>
        </w:rPr>
        <w:t xml:space="preserve"> </w:t>
      </w:r>
      <w:r w:rsidRPr="001247D7">
        <w:rPr>
          <w:spacing w:val="-4"/>
        </w:rPr>
        <w:t xml:space="preserve">za řádně a včas realizovaná managementová opatření finanční příspěvek </w:t>
      </w:r>
      <w:r w:rsidR="00E90623" w:rsidRPr="001247D7">
        <w:rPr>
          <w:rFonts w:eastAsia="Arial Unicode MS"/>
          <w:spacing w:val="-4"/>
        </w:rPr>
        <w:t>podle § 69 zákona č. 114/1992 Sb.</w:t>
      </w:r>
      <w:r w:rsidR="00E90623" w:rsidRPr="001247D7">
        <w:rPr>
          <w:spacing w:val="-4"/>
        </w:rPr>
        <w:t xml:space="preserve"> specifikovaný v čl. III. této Dohody (dále též jen „finanční příspěvek“)</w:t>
      </w:r>
      <w:r w:rsidRPr="001247D7">
        <w:rPr>
          <w:spacing w:val="-4"/>
        </w:rPr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6F7DB2" w:rsidP="001247D7">
      <w:pPr>
        <w:spacing w:before="120" w:after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Kosení těžkou mechanizací a ručně křovinořezem na louce pod Milešovkou.</w:t>
      </w:r>
    </w:p>
    <w:p w:rsidR="00653A3C" w:rsidRPr="00653A3C" w:rsidRDefault="006F7DB2" w:rsidP="001247D7">
      <w:pPr>
        <w:pStyle w:val="Odstavecseseznamem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Celková plocha vymezená zákresem nad ortofotomapou je 1,9033 ha. Z důvodu výskytu solitérních dřevin je výměra snížena o 5 %, tj. na 1,8081 ha. </w:t>
      </w:r>
    </w:p>
    <w:p w:rsidR="00653A3C" w:rsidRDefault="00653A3C" w:rsidP="001247D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</w:t>
      </w:r>
      <w:r w:rsidR="00480AEB">
        <w:rPr>
          <w:rFonts w:ascii="Arial" w:hAnsi="Arial" w:cs="Arial"/>
          <w:sz w:val="22"/>
          <w:szCs w:val="22"/>
        </w:rPr>
        <w:t xml:space="preserve"> č. 1729 a</w:t>
      </w:r>
      <w:r>
        <w:rPr>
          <w:rFonts w:ascii="Arial" w:hAnsi="Arial" w:cs="Arial"/>
          <w:sz w:val="22"/>
          <w:szCs w:val="22"/>
        </w:rPr>
        <w:t xml:space="preserve"> 1744</w:t>
      </w:r>
      <w:r w:rsidR="00480AEB">
        <w:rPr>
          <w:rFonts w:ascii="Arial" w:hAnsi="Arial" w:cs="Arial"/>
          <w:sz w:val="22"/>
          <w:szCs w:val="22"/>
        </w:rPr>
        <w:t xml:space="preserve"> v k. ú. Velemín,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</w:t>
      </w:r>
      <w:r w:rsidR="00480A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10.</w:t>
      </w:r>
      <w:r w:rsidR="00480A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  <w:r w:rsidR="001247D7">
        <w:rPr>
          <w:rFonts w:ascii="Arial" w:hAnsi="Arial" w:cs="Arial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D02</w:t>
      </w:r>
      <w:r w:rsidR="00480A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004</w:t>
      </w:r>
      <w:r w:rsidR="002D1679">
        <w:rPr>
          <w:rFonts w:ascii="Arial" w:hAnsi="Arial" w:cs="Arial"/>
          <w:sz w:val="22"/>
          <w:szCs w:val="22"/>
        </w:rPr>
        <w:t>.</w:t>
      </w:r>
    </w:p>
    <w:p w:rsidR="00480AEB" w:rsidRPr="001247D7" w:rsidRDefault="00480AEB" w:rsidP="001247D7">
      <w:pPr>
        <w:pStyle w:val="Odstavecseseznamem"/>
        <w:ind w:left="360"/>
        <w:jc w:val="both"/>
        <w:rPr>
          <w:rFonts w:ascii="Arial" w:hAnsi="Arial" w:cs="Arial"/>
          <w:sz w:val="12"/>
          <w:szCs w:val="12"/>
        </w:rPr>
      </w:pPr>
    </w:p>
    <w:p w:rsidR="00653A3C" w:rsidRPr="00653A3C" w:rsidRDefault="00653A3C" w:rsidP="001247D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Default="00653A3C" w:rsidP="001247D7">
      <w:pPr>
        <w:pStyle w:val="Odstavecseseznamem"/>
        <w:spacing w:before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3E73BE" w:rsidRPr="001247D7" w:rsidRDefault="003E73BE" w:rsidP="00653A3C">
      <w:pPr>
        <w:pStyle w:val="Odstavecseseznamem"/>
        <w:ind w:left="0" w:firstLine="360"/>
        <w:rPr>
          <w:rFonts w:ascii="Arial" w:hAnsi="Arial" w:cs="Arial"/>
          <w:sz w:val="12"/>
          <w:szCs w:val="12"/>
        </w:rPr>
      </w:pPr>
    </w:p>
    <w:p w:rsidR="003E73BE" w:rsidRPr="00653A3C" w:rsidRDefault="003E73BE" w:rsidP="003E73B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</w:t>
      </w:r>
      <w:r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</w:t>
      </w:r>
      <w:r w:rsidR="001247D7">
        <w:rPr>
          <w:rFonts w:ascii="Arial" w:eastAsia="Arial Unicode MS" w:hAnsi="Arial" w:cs="Arial"/>
          <w:color w:val="000000"/>
          <w:sz w:val="22"/>
          <w:szCs w:val="22"/>
        </w:rPr>
        <w:t xml:space="preserve"> (dále i jen ZOPK)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>, které jsou potřebné k realizaci managementových opatření.</w:t>
      </w:r>
    </w:p>
    <w:p w:rsidR="003E73BE" w:rsidRPr="00653A3C" w:rsidRDefault="003E73BE" w:rsidP="003E73BE">
      <w:pPr>
        <w:pStyle w:val="Odstavecseseznamem"/>
        <w:spacing w:before="120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při splnění následujících podmínek:</w:t>
      </w:r>
    </w:p>
    <w:p w:rsidR="003E73BE" w:rsidRPr="0080003D" w:rsidRDefault="003E73BE" w:rsidP="003E73BE">
      <w:pPr>
        <w:pStyle w:val="nadpismj"/>
        <w:keepNext w:val="0"/>
        <w:numPr>
          <w:ilvl w:val="0"/>
          <w:numId w:val="0"/>
        </w:numPr>
        <w:spacing w:before="120" w:after="120"/>
        <w:ind w:left="340"/>
        <w:jc w:val="both"/>
        <w:rPr>
          <w:rFonts w:cs="Arial"/>
          <w:b w:val="0"/>
          <w:spacing w:val="0"/>
          <w:sz w:val="22"/>
          <w:szCs w:val="22"/>
        </w:rPr>
      </w:pPr>
      <w:r w:rsidRPr="0080003D">
        <w:rPr>
          <w:rFonts w:cs="Arial"/>
          <w:b w:val="0"/>
          <w:spacing w:val="0"/>
          <w:sz w:val="22"/>
          <w:szCs w:val="22"/>
        </w:rPr>
        <w:t xml:space="preserve">- výjimky ze základních ochranných podmínek chráněných krajinných oblastí podle § 43 odst. 1 ZOPK </w:t>
      </w:r>
      <w:r>
        <w:rPr>
          <w:rFonts w:cs="Arial"/>
          <w:b w:val="0"/>
          <w:spacing w:val="0"/>
          <w:sz w:val="22"/>
          <w:szCs w:val="22"/>
        </w:rPr>
        <w:t xml:space="preserve">- </w:t>
      </w:r>
      <w:r w:rsidRPr="002F7AD8">
        <w:rPr>
          <w:rFonts w:cs="Arial"/>
          <w:b w:val="0"/>
          <w:spacing w:val="0"/>
          <w:sz w:val="22"/>
          <w:szCs w:val="22"/>
        </w:rPr>
        <w:t>vjezdy a setrvání s motorovými vozidly mimo silnice a místní komunikace a místa vyhrazená se souhlasem orgánu ochrany přírody budou probíhat pouze v nezbytně nutné míře za účelem zajištění managementového opatření. Vjíždění a setrvání motorovými vozidly bude probíhat pouze za vhodných klimatických podmínek, aby nedošlo k poškození půdního povrchu.</w:t>
      </w:r>
    </w:p>
    <w:p w:rsidR="003E73BE" w:rsidRPr="0080003D" w:rsidRDefault="003E73BE" w:rsidP="003E73BE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80003D">
        <w:rPr>
          <w:rFonts w:ascii="Arial" w:hAnsi="Arial" w:cs="Arial"/>
          <w:sz w:val="22"/>
          <w:szCs w:val="22"/>
        </w:rPr>
        <w:t>- výjimky z ochranných podmínek ZCHD podle § 56 odst. 1 ZOPK – zasahování do přirozeného vývoje ZCHD</w:t>
      </w:r>
      <w:r>
        <w:rPr>
          <w:rFonts w:ascii="Arial" w:hAnsi="Arial" w:cs="Arial"/>
          <w:sz w:val="22"/>
          <w:szCs w:val="22"/>
        </w:rPr>
        <w:t xml:space="preserve"> </w:t>
      </w:r>
      <w:r w:rsidRPr="0080003D">
        <w:rPr>
          <w:rFonts w:ascii="Arial" w:hAnsi="Arial" w:cs="Arial"/>
          <w:sz w:val="22"/>
          <w:szCs w:val="22"/>
        </w:rPr>
        <w:t xml:space="preserve">bude probíhat pouze v nezbytně nutné míře výhradně za účelem zajištění managementového opatření dle specifikace uvedené v této </w:t>
      </w:r>
      <w:r>
        <w:rPr>
          <w:rFonts w:ascii="Arial" w:hAnsi="Arial" w:cs="Arial"/>
          <w:sz w:val="22"/>
          <w:szCs w:val="22"/>
        </w:rPr>
        <w:t>dohodě</w:t>
      </w:r>
      <w:r w:rsidRPr="0080003D">
        <w:rPr>
          <w:rFonts w:ascii="Arial" w:hAnsi="Arial" w:cs="Arial"/>
          <w:sz w:val="22"/>
          <w:szCs w:val="22"/>
        </w:rPr>
        <w:t xml:space="preserve"> a jejích přílohách.</w:t>
      </w:r>
    </w:p>
    <w:p w:rsidR="003E73BE" w:rsidRDefault="003E73BE" w:rsidP="003E73BE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Tato Dohoda dle § 90 odst. 2</w:t>
      </w:r>
      <w:r>
        <w:rPr>
          <w:rFonts w:ascii="Arial" w:hAnsi="Arial" w:cs="Arial"/>
          <w:sz w:val="22"/>
          <w:szCs w:val="22"/>
        </w:rPr>
        <w:t>1</w:t>
      </w:r>
      <w:r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Pr="00653A3C">
        <w:rPr>
          <w:rFonts w:ascii="Arial" w:hAnsi="Arial" w:cs="Arial"/>
          <w:sz w:val="22"/>
          <w:szCs w:val="22"/>
        </w:rPr>
        <w:t>. Takové činnosti jsou nadále o</w:t>
      </w:r>
      <w:r>
        <w:rPr>
          <w:rFonts w:ascii="Arial" w:hAnsi="Arial" w:cs="Arial"/>
          <w:sz w:val="22"/>
          <w:szCs w:val="22"/>
        </w:rPr>
        <w:t>mezené zákonem č. 114/1992 Sb.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lastRenderedPageBreak/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2622A5">
        <w:rPr>
          <w:b/>
          <w:bCs/>
        </w:rPr>
        <w:t>38 578,77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1247D7" w:rsidRDefault="001D7BF3" w:rsidP="003622FB">
      <w:pPr>
        <w:pStyle w:val="Nadpis2"/>
        <w:ind w:left="397" w:hanging="397"/>
        <w:rPr>
          <w:spacing w:val="-4"/>
        </w:rPr>
      </w:pPr>
      <w:r w:rsidRPr="001247D7">
        <w:rPr>
          <w:spacing w:val="-4"/>
        </w:rPr>
        <w:t xml:space="preserve">AOPK ČR se zavazuje po provedení kontroly za řádně, včas a v souladu s ostatními podmínkami této Dohody provedená managementová opatření uhradit </w:t>
      </w:r>
      <w:r w:rsidR="00295AF2" w:rsidRPr="001247D7">
        <w:rPr>
          <w:spacing w:val="-4"/>
        </w:rPr>
        <w:t>hospodařícímu subjektu</w:t>
      </w:r>
      <w:r w:rsidRPr="001247D7">
        <w:rPr>
          <w:spacing w:val="-4"/>
        </w:rPr>
        <w:t xml:space="preserve"> finanční příspěvek na péči v celkové výši </w:t>
      </w:r>
      <w:r w:rsidR="002622A5" w:rsidRPr="001247D7">
        <w:rPr>
          <w:spacing w:val="-4"/>
        </w:rPr>
        <w:t>38 578,77</w:t>
      </w:r>
      <w:r w:rsidR="005B1561" w:rsidRPr="001247D7">
        <w:rPr>
          <w:color w:val="FF0000"/>
          <w:spacing w:val="-4"/>
        </w:rPr>
        <w:t xml:space="preserve"> </w:t>
      </w:r>
      <w:r w:rsidRPr="001247D7">
        <w:rPr>
          <w:spacing w:val="-4"/>
        </w:rPr>
        <w:t xml:space="preserve">Kč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1247D7">
        <w:rPr>
          <w:spacing w:val="-4"/>
        </w:rPr>
        <w:t>hospodařícímu subjektu</w:t>
      </w:r>
      <w:r w:rsidR="001F5B69" w:rsidRPr="001247D7">
        <w:rPr>
          <w:spacing w:val="-4"/>
        </w:rPr>
        <w:t xml:space="preserve"> </w:t>
      </w:r>
      <w:r w:rsidRPr="001247D7">
        <w:rPr>
          <w:spacing w:val="-4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Pr="003E73BE">
        <w:t>vlastnické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703197" w:rsidRDefault="00C17F8F" w:rsidP="00F11F64">
      <w:pPr>
        <w:pStyle w:val="Nadpis2"/>
        <w:ind w:left="397" w:hanging="397"/>
        <w:rPr>
          <w:rFonts w:eastAsia="Arial Unicode MS"/>
        </w:rPr>
      </w:pPr>
      <w:r w:rsidRPr="00703197">
        <w:rPr>
          <w:rFonts w:eastAsia="Arial Unicode MS"/>
        </w:rPr>
        <w:t xml:space="preserve">Vyúčtování </w:t>
      </w:r>
      <w:r w:rsidR="00295AF2" w:rsidRPr="00703197">
        <w:rPr>
          <w:rFonts w:eastAsia="Arial Unicode MS"/>
        </w:rPr>
        <w:t>hospodařící subjekt</w:t>
      </w:r>
      <w:r w:rsidR="00CE61A2" w:rsidRPr="00703197">
        <w:rPr>
          <w:rFonts w:eastAsia="Arial Unicode MS"/>
        </w:rPr>
        <w:t xml:space="preserve"> </w:t>
      </w:r>
      <w:r w:rsidRPr="00703197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703197">
        <w:rPr>
          <w:rFonts w:eastAsia="Arial Unicode MS"/>
        </w:rPr>
        <w:t xml:space="preserve"> hospodařícího subjektu</w:t>
      </w:r>
      <w:r w:rsidRPr="00703197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703197">
        <w:rPr>
          <w:rFonts w:eastAsia="Arial Unicode MS"/>
        </w:rPr>
        <w:t xml:space="preserve"> </w:t>
      </w:r>
    </w:p>
    <w:p w:rsidR="00C17F8F" w:rsidRPr="00703197" w:rsidRDefault="00C17F8F" w:rsidP="00F11F64">
      <w:pPr>
        <w:pStyle w:val="Nadpis2"/>
        <w:ind w:left="397" w:hanging="397"/>
        <w:rPr>
          <w:rFonts w:eastAsia="Arial Unicode MS"/>
        </w:rPr>
      </w:pPr>
      <w:r w:rsidRPr="00703197">
        <w:rPr>
          <w:rFonts w:eastAsia="Arial Unicode MS"/>
        </w:rPr>
        <w:t xml:space="preserve">Účastníci Dohody se dohodli, že vyúčtování vystavené </w:t>
      </w:r>
      <w:r w:rsidR="00295AF2" w:rsidRPr="00703197">
        <w:rPr>
          <w:rFonts w:eastAsia="Arial Unicode MS"/>
        </w:rPr>
        <w:t>hospodařícím subjektem</w:t>
      </w:r>
      <w:r w:rsidR="001F5B69" w:rsidRPr="00703197">
        <w:rPr>
          <w:rFonts w:eastAsia="Arial Unicode MS"/>
        </w:rPr>
        <w:t xml:space="preserve"> </w:t>
      </w:r>
      <w:r w:rsidRPr="00703197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lastRenderedPageBreak/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</w:t>
      </w:r>
      <w:r w:rsidR="00703197">
        <w:rPr>
          <w:b/>
        </w:rPr>
        <w:t xml:space="preserve"> </w:t>
      </w:r>
      <w:r>
        <w:rPr>
          <w:b/>
        </w:rPr>
        <w:t>10.</w:t>
      </w:r>
      <w:r w:rsidR="00703197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6F55FC" w:rsidRPr="00703197" w:rsidRDefault="00A42D75" w:rsidP="00D43ED9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>příloha č.</w:t>
      </w:r>
      <w:r w:rsidR="00703197">
        <w:t xml:space="preserve"> </w:t>
      </w:r>
      <w:r>
        <w:t xml:space="preserve">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lastRenderedPageBreak/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703197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B94C04" w:rsidP="00B94C0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21. 5. 2025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703197">
              <w:rPr>
                <w:rFonts w:ascii="Arial" w:hAnsi="Arial" w:cs="Arial"/>
              </w:rPr>
              <w:t>Litoměřicích</w:t>
            </w:r>
          </w:p>
        </w:tc>
        <w:tc>
          <w:tcPr>
            <w:tcW w:w="2052" w:type="dxa"/>
          </w:tcPr>
          <w:p w:rsidR="000F7827" w:rsidRDefault="00B94C04" w:rsidP="00B94C0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21. 5. 2025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1247D7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1247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1247D7" w:rsidP="001247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95AF2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1247D7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6F7DB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703197">
              <w:rPr>
                <w:rFonts w:ascii="Arial" w:hAnsi="Arial" w:cs="Arial"/>
              </w:rPr>
              <w:t>Vladislav Kopecký</w:t>
            </w:r>
            <w:r w:rsidR="0002286E">
              <w:rPr>
                <w:rFonts w:ascii="Arial" w:hAnsi="Arial" w:cs="Arial"/>
              </w:rPr>
              <w:t>,</w:t>
            </w:r>
            <w:bookmarkStart w:id="0" w:name="_GoBack"/>
            <w:bookmarkEnd w:id="0"/>
          </w:p>
          <w:p w:rsidR="00E54961" w:rsidRDefault="00703197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Oddělení péče o přírodu a krajinu</w:t>
            </w:r>
          </w:p>
        </w:tc>
        <w:tc>
          <w:tcPr>
            <w:tcW w:w="4667" w:type="dxa"/>
            <w:gridSpan w:val="2"/>
          </w:tcPr>
          <w:p w:rsidR="00703197" w:rsidRDefault="00703197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Chvála</w:t>
            </w:r>
          </w:p>
          <w:p w:rsidR="001247D7" w:rsidRDefault="006F7DB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</w:t>
            </w:r>
            <w:r w:rsidR="007031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</w:t>
            </w:r>
            <w:r w:rsidR="00703197">
              <w:rPr>
                <w:rFonts w:ascii="Arial" w:hAnsi="Arial" w:cs="Arial"/>
              </w:rPr>
              <w:t xml:space="preserve">, </w:t>
            </w:r>
          </w:p>
          <w:p w:rsidR="000F7827" w:rsidRDefault="00703197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Lesní správa Litoměřice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2"/>
      <w:headerReference w:type="defaul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B2" w:rsidRDefault="006F7DB2" w:rsidP="00F22E78">
      <w:pPr>
        <w:spacing w:after="0" w:line="240" w:lineRule="auto"/>
      </w:pPr>
      <w:r>
        <w:separator/>
      </w:r>
    </w:p>
  </w:endnote>
  <w:endnote w:type="continuationSeparator" w:id="0">
    <w:p w:rsidR="006F7DB2" w:rsidRDefault="006F7DB2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B2" w:rsidRDefault="006F7DB2" w:rsidP="00F22E78">
      <w:pPr>
        <w:spacing w:after="0" w:line="240" w:lineRule="auto"/>
      </w:pPr>
      <w:r>
        <w:separator/>
      </w:r>
    </w:p>
  </w:footnote>
  <w:footnote w:type="continuationSeparator" w:id="0">
    <w:p w:rsidR="006F7DB2" w:rsidRDefault="006F7DB2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1"/>
  </w:num>
  <w:num w:numId="11">
    <w:abstractNumId w:val="11"/>
  </w:num>
  <w:num w:numId="12">
    <w:abstractNumId w:val="7"/>
  </w:num>
  <w:num w:numId="13">
    <w:abstractNumId w:val="11"/>
  </w:num>
  <w:num w:numId="14">
    <w:abstractNumId w:val="11"/>
  </w:num>
  <w:num w:numId="15">
    <w:abstractNumId w:val="5"/>
  </w:num>
  <w:num w:numId="16">
    <w:abstractNumId w:val="1"/>
  </w:num>
  <w:num w:numId="17">
    <w:abstractNumId w:val="11"/>
  </w:num>
  <w:num w:numId="18">
    <w:abstractNumId w:val="12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2286E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247D7"/>
    <w:rsid w:val="00132C44"/>
    <w:rsid w:val="0014246C"/>
    <w:rsid w:val="00143069"/>
    <w:rsid w:val="00144872"/>
    <w:rsid w:val="00163348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11DD4"/>
    <w:rsid w:val="00250EC6"/>
    <w:rsid w:val="00253C5D"/>
    <w:rsid w:val="002554FA"/>
    <w:rsid w:val="0025778E"/>
    <w:rsid w:val="002622A5"/>
    <w:rsid w:val="002703FE"/>
    <w:rsid w:val="00272100"/>
    <w:rsid w:val="00285178"/>
    <w:rsid w:val="002855CB"/>
    <w:rsid w:val="00292721"/>
    <w:rsid w:val="00295AF2"/>
    <w:rsid w:val="002B0565"/>
    <w:rsid w:val="002B4C1B"/>
    <w:rsid w:val="002B6A3C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3E73BE"/>
    <w:rsid w:val="004009A5"/>
    <w:rsid w:val="004066C4"/>
    <w:rsid w:val="004459B2"/>
    <w:rsid w:val="004509BB"/>
    <w:rsid w:val="00452779"/>
    <w:rsid w:val="00465F79"/>
    <w:rsid w:val="00480AEB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D2450"/>
    <w:rsid w:val="006E64D3"/>
    <w:rsid w:val="006F55FC"/>
    <w:rsid w:val="006F7DB2"/>
    <w:rsid w:val="00703197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17D21"/>
    <w:rsid w:val="00927070"/>
    <w:rsid w:val="00947D2B"/>
    <w:rsid w:val="009867FE"/>
    <w:rsid w:val="009A7195"/>
    <w:rsid w:val="009B24B5"/>
    <w:rsid w:val="009D3A24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4D8F"/>
    <w:rsid w:val="00B053A1"/>
    <w:rsid w:val="00B1098C"/>
    <w:rsid w:val="00B123FC"/>
    <w:rsid w:val="00B15D42"/>
    <w:rsid w:val="00B26220"/>
    <w:rsid w:val="00B364E6"/>
    <w:rsid w:val="00B6134D"/>
    <w:rsid w:val="00B9212C"/>
    <w:rsid w:val="00B94C04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634"/>
    <w:rsid w:val="00F768B2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849282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paragraph" w:customStyle="1" w:styleId="nadpismj">
    <w:name w:val="nadpis můj"/>
    <w:basedOn w:val="Nadpis2"/>
    <w:link w:val="nadpismjChar"/>
    <w:rsid w:val="003E73BE"/>
    <w:pPr>
      <w:keepNext/>
      <w:numPr>
        <w:ilvl w:val="0"/>
        <w:numId w:val="23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3E73BE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df795ae-2c70-464b-8ca3-4eb6d5c688a6"/>
    <ds:schemaRef ds:uri="http://schemas.microsoft.com/office/2006/metadata/properties"/>
    <ds:schemaRef ds:uri="http://purl.org/dc/elements/1.1/"/>
    <ds:schemaRef ds:uri="63f5bd56-79c6-432a-8457-3215e7a0ead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D652A-3BF0-47C8-8F45-1803A523CF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12</cp:revision>
  <dcterms:created xsi:type="dcterms:W3CDTF">2025-04-23T08:07:00Z</dcterms:created>
  <dcterms:modified xsi:type="dcterms:W3CDTF">2025-05-23T04:38:00Z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