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55115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8681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81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POH/21852/2025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147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POH/21852/2025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88465" distB="635" distL="114300" distR="443865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1701165</wp:posOffset>
                </wp:positionV>
                <wp:extent cx="1868170" cy="8318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817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  <w:tab/>
                              <w:t>xxxxxxxxxxx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+xxxxxxxxx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  <w:tab/>
                              <w:t>+xxxxxxxxx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"mailto:xxxxxxxxxx@poh.cz"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xxxxxxxxxx@poh.cz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16.05.2025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33.94999999999999pt;width:147.09999999999999pt;height:65.5pt;z-index:-125829374;mso-wrap-distance-left:9.pt;mso-wrap-distance-top:132.94999999999999pt;mso-wrap-distance-right:34.950000000000003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  <w:tab/>
                        <w:t>xxxxxxxxxxx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+xxxxxxxxx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  <w:tab/>
                        <w:t>+xxxxxxxxx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"mailto:xxxxxxxxxx@poh.cz"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xxxxxxxxxx@poh.cz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16.05.2025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3816350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102043/471/2025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30.06.2025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56 130,00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300.5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102043/471/2025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30.06.2025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56 130,00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ALARMY DVOŘÁK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129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Karlovy Vary, Mostecká 50, 362 32 Otovice u Karlových Varů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výměnu kamery pro čtení SPZ (otvírání brány) na PD Otovice, výměnným způsobem dle nabídky 25NA00040 ze dne 18.04.2025.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dodávky: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IP kamera bullet 5 MPx WiseNet XNO-line FF Group SPZ, VF 2,8 - 12 mm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Instalace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technické dokumentace a nastavení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DLHM 102/98021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xxxxxxxxxxxxxx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Karlovy Vary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1044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