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7236200051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Orientální</w:t>
      </w:r>
      <w:r>
        <w:rPr>
          <w:spacing w:val="-5"/>
        </w:rPr>
        <w:t> </w:t>
      </w:r>
      <w:r>
        <w:rPr/>
        <w:t>ústav</w:t>
      </w:r>
      <w:r>
        <w:rPr>
          <w:spacing w:val="-2"/>
        </w:rPr>
        <w:t> </w:t>
      </w:r>
      <w:r>
        <w:rPr/>
        <w:t>AV</w:t>
      </w:r>
      <w:r>
        <w:rPr>
          <w:spacing w:val="-6"/>
        </w:rPr>
        <w:t> </w:t>
      </w:r>
      <w:r>
        <w:rPr/>
        <w:t>ČR,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v.</w:t>
      </w:r>
      <w:r>
        <w:rPr>
          <w:spacing w:val="-3"/>
        </w:rPr>
        <w:t> </w:t>
      </w:r>
      <w:r>
        <w:rPr>
          <w:spacing w:val="-5"/>
        </w:rPr>
        <w:t>i.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Pod</w:t>
      </w:r>
      <w:r>
        <w:rPr>
          <w:spacing w:val="-4"/>
        </w:rPr>
        <w:t> </w:t>
      </w:r>
      <w:r>
        <w:rPr/>
        <w:t>vodárenskou</w:t>
      </w:r>
      <w:r>
        <w:rPr>
          <w:spacing w:val="-5"/>
        </w:rPr>
        <w:t> </w:t>
      </w:r>
      <w:r>
        <w:rPr/>
        <w:t>věží</w:t>
      </w:r>
      <w:r>
        <w:rPr>
          <w:spacing w:val="-6"/>
        </w:rPr>
        <w:t> </w:t>
      </w:r>
      <w:r>
        <w:rPr/>
        <w:t>1143/4,</w:t>
      </w:r>
      <w:r>
        <w:rPr>
          <w:spacing w:val="-6"/>
        </w:rPr>
        <w:t> </w:t>
      </w:r>
      <w:r>
        <w:rPr/>
        <w:t>Libeň,</w:t>
      </w:r>
      <w:r>
        <w:rPr>
          <w:spacing w:val="-6"/>
        </w:rPr>
        <w:t> </w:t>
      </w:r>
      <w:r>
        <w:rPr/>
        <w:t>182</w:t>
      </w:r>
      <w:r>
        <w:rPr>
          <w:spacing w:val="-1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8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68378009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zastoupený:</w:t>
      </w:r>
      <w:r>
        <w:rPr/>
        <w:tab/>
        <w:t>Mgr.</w:t>
      </w:r>
      <w:r>
        <w:rPr>
          <w:spacing w:val="-2"/>
        </w:rPr>
        <w:t> </w:t>
      </w:r>
      <w:r>
        <w:rPr/>
        <w:t>Táňou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š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o</w:t>
      </w:r>
      <w:r>
        <w:rPr>
          <w:spacing w:val="-4"/>
        </w:rPr>
        <w:t> </w:t>
      </w:r>
      <w:r>
        <w:rPr/>
        <w:t>u,</w:t>
      </w:r>
      <w:r>
        <w:rPr>
          <w:spacing w:val="-2"/>
        </w:rPr>
        <w:t> </w:t>
      </w:r>
      <w:r>
        <w:rPr/>
        <w:t>Ph.D,</w:t>
      </w:r>
      <w:r>
        <w:rPr>
          <w:spacing w:val="-3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69922011/0710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9"/>
      </w:pPr>
      <w:r>
        <w:rPr/>
        <w:t>„Smlouva“) se uzavírá na základě Rozhodnutí ministra životního prostředí č. 7236200051 o poskytnutí finančních prostředků ze Státního fondu životního prostředí ČR ze dne 14.</w:t>
      </w:r>
      <w:r>
        <w:rPr>
          <w:spacing w:val="-3"/>
        </w:rPr>
        <w:t> </w:t>
      </w:r>
      <w:r>
        <w:rPr/>
        <w:t>10.</w:t>
      </w:r>
      <w:r>
        <w:rPr>
          <w:spacing w:val="-3"/>
        </w:rPr>
        <w:t> </w:t>
      </w:r>
      <w:r>
        <w:rPr/>
        <w:t>2024 v</w:t>
      </w:r>
      <w:r>
        <w:rPr>
          <w:spacing w:val="-2"/>
        </w:rPr>
        <w:t> </w:t>
      </w:r>
      <w:r>
        <w:rPr/>
        <w:t>rámci Programu financovaného z</w:t>
      </w:r>
      <w:r>
        <w:rPr>
          <w:spacing w:val="-1"/>
        </w:rPr>
        <w:t> </w:t>
      </w:r>
      <w:r>
        <w:rPr/>
        <w:t>prostředků Modernizačního fondu (dále jen „Rozhodnutí“) a Směrnice 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6/2024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(dále jen „Směrnice MŽP“)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8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Směrnicí</w:t>
      </w:r>
      <w:r>
        <w:rPr>
          <w:spacing w:val="6"/>
          <w:sz w:val="20"/>
        </w:rPr>
        <w:t> </w:t>
      </w:r>
      <w:r>
        <w:rPr>
          <w:sz w:val="20"/>
        </w:rPr>
        <w:t>MŽP</w:t>
      </w:r>
      <w:r>
        <w:rPr>
          <w:spacing w:val="10"/>
          <w:sz w:val="20"/>
        </w:rPr>
        <w:t> </w:t>
      </w:r>
      <w:r>
        <w:rPr>
          <w:sz w:val="20"/>
        </w:rPr>
        <w:t>(včetně</w:t>
      </w:r>
      <w:r>
        <w:rPr>
          <w:spacing w:val="6"/>
          <w:sz w:val="20"/>
        </w:rPr>
        <w:t> </w:t>
      </w:r>
      <w:r>
        <w:rPr>
          <w:sz w:val="20"/>
        </w:rPr>
        <w:t>příloh</w:t>
      </w:r>
      <w:r>
        <w:rPr>
          <w:spacing w:val="8"/>
          <w:sz w:val="20"/>
        </w:rPr>
        <w:t> </w:t>
      </w:r>
      <w:r>
        <w:rPr>
          <w:sz w:val="20"/>
        </w:rPr>
        <w:t>této</w:t>
      </w:r>
      <w:r>
        <w:rPr>
          <w:spacing w:val="10"/>
          <w:sz w:val="20"/>
        </w:rPr>
        <w:t> </w:t>
      </w:r>
      <w:r>
        <w:rPr>
          <w:sz w:val="20"/>
        </w:rPr>
        <w:t>směrnice)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pacing w:val="-5"/>
          <w:sz w:val="20"/>
        </w:rPr>
        <w:t>č.</w:t>
      </w:r>
    </w:p>
    <w:p>
      <w:pPr>
        <w:pStyle w:val="BodyText"/>
        <w:spacing w:before="1"/>
      </w:pPr>
      <w:r>
        <w:rPr/>
        <w:t>2/2023</w:t>
      </w:r>
      <w:r>
        <w:rPr>
          <w:spacing w:val="49"/>
        </w:rPr>
        <w:t> </w:t>
      </w:r>
      <w:r>
        <w:rPr/>
        <w:t>k</w:t>
      </w:r>
      <w:r>
        <w:rPr>
          <w:spacing w:val="-4"/>
        </w:rPr>
        <w:t> </w:t>
      </w:r>
      <w:r>
        <w:rPr/>
        <w:t>předkládání</w:t>
      </w:r>
      <w:r>
        <w:rPr>
          <w:spacing w:val="49"/>
        </w:rPr>
        <w:t> </w:t>
      </w:r>
      <w:r>
        <w:rPr/>
        <w:t>žádostí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/>
        <w:t>poskytnutí</w:t>
      </w:r>
      <w:r>
        <w:rPr>
          <w:spacing w:val="49"/>
        </w:rPr>
        <w:t> </w:t>
      </w:r>
      <w:r>
        <w:rPr/>
        <w:t>podpory</w:t>
      </w:r>
      <w:r>
        <w:rPr>
          <w:spacing w:val="57"/>
        </w:rPr>
        <w:t> </w:t>
      </w:r>
      <w:r>
        <w:rPr/>
        <w:t>z</w:t>
      </w:r>
      <w:r>
        <w:rPr>
          <w:spacing w:val="-3"/>
        </w:rPr>
        <w:t> </w:t>
      </w:r>
      <w:r>
        <w:rPr/>
        <w:t>prostředků</w:t>
      </w:r>
      <w:r>
        <w:rPr>
          <w:spacing w:val="50"/>
        </w:rPr>
        <w:t> </w:t>
      </w:r>
      <w:r>
        <w:rPr/>
        <w:t>Modernizačního</w:t>
      </w:r>
      <w:r>
        <w:rPr>
          <w:spacing w:val="50"/>
        </w:rPr>
        <w:t> </w:t>
      </w:r>
      <w:r>
        <w:rPr/>
        <w:t>fondu</w:t>
      </w:r>
      <w:r>
        <w:rPr>
          <w:spacing w:val="49"/>
        </w:rPr>
        <w:t> </w:t>
      </w:r>
      <w:r>
        <w:rPr/>
        <w:t>(dále</w:t>
      </w:r>
      <w:r>
        <w:rPr>
          <w:spacing w:val="49"/>
        </w:rPr>
        <w:t> </w:t>
      </w:r>
      <w:r>
        <w:rPr>
          <w:spacing w:val="-5"/>
        </w:rPr>
        <w:t>jen</w:t>
      </w:r>
    </w:p>
    <w:p>
      <w:pPr>
        <w:pStyle w:val="BodyText"/>
      </w:pPr>
      <w:r>
        <w:rPr/>
        <w:t>„Výzva“),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že</w:t>
      </w:r>
      <w:r>
        <w:rPr>
          <w:spacing w:val="-8"/>
        </w:rPr>
        <w:t> </w:t>
      </w:r>
      <w:r>
        <w:rPr/>
        <w:t>náležitosti</w:t>
      </w:r>
      <w:r>
        <w:rPr>
          <w:spacing w:val="-6"/>
        </w:rPr>
        <w:t> </w:t>
      </w:r>
      <w:r>
        <w:rPr/>
        <w:t>akce</w:t>
      </w:r>
      <w:r>
        <w:rPr>
          <w:spacing w:val="-8"/>
        </w:rPr>
        <w:t> </w:t>
      </w:r>
      <w:r>
        <w:rPr/>
        <w:t>odpovídají</w:t>
      </w:r>
      <w:r>
        <w:rPr>
          <w:spacing w:val="-8"/>
        </w:rPr>
        <w:t> </w:t>
      </w:r>
      <w:r>
        <w:rPr/>
        <w:t>podmínkám</w:t>
      </w:r>
      <w:r>
        <w:rPr>
          <w:spacing w:val="-7"/>
        </w:rPr>
        <w:t> </w:t>
      </w:r>
      <w:r>
        <w:rPr/>
        <w:t>stanoveným</w:t>
      </w:r>
      <w:r>
        <w:rPr>
          <w:spacing w:val="-7"/>
        </w:rPr>
        <w:t> </w:t>
      </w:r>
      <w:r>
        <w:rPr/>
        <w:t>Rozhodnutím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Výzvou.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08" w:footer="1415" w:top="1440" w:bottom="1600" w:left="1320" w:right="1020"/>
          <w:pgNumType w:start="1"/>
        </w:sect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9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59"/>
        <w:jc w:val="left"/>
      </w:pPr>
      <w:r>
        <w:rPr/>
        <w:t>„Rekonstrukce</w:t>
      </w:r>
      <w:r>
        <w:rPr>
          <w:spacing w:val="-14"/>
        </w:rPr>
        <w:t> </w:t>
      </w:r>
      <w:r>
        <w:rPr/>
        <w:t>Hybernská</w:t>
      </w:r>
      <w:r>
        <w:rPr>
          <w:spacing w:val="-11"/>
        </w:rPr>
        <w:t> </w:t>
      </w:r>
      <w:r>
        <w:rPr>
          <w:spacing w:val="-2"/>
        </w:rPr>
        <w:t>1000/8“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8" w:hanging="360"/>
        <w:jc w:val="left"/>
        <w:rPr>
          <w:sz w:val="20"/>
        </w:rPr>
      </w:pPr>
      <w:r>
        <w:rPr>
          <w:sz w:val="20"/>
        </w:rPr>
        <w:t>Podpora je poskytována v</w:t>
      </w:r>
      <w:r>
        <w:rPr>
          <w:spacing w:val="-1"/>
          <w:sz w:val="20"/>
        </w:rPr>
        <w:t> </w:t>
      </w:r>
      <w:r>
        <w:rPr>
          <w:sz w:val="20"/>
        </w:rPr>
        <w:t>souladu s podmínkami nařízení Komise (EU) 2020/1001 ze dne 9. července 2020, kterým se stanoví prováděcí pravidla ke směrnici Evropského parlamentu a Rady 2003/87/ES.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59" w:right="106" w:hanging="360"/>
        <w:jc w:val="right"/>
        <w:rPr>
          <w:b/>
          <w:sz w:val="20"/>
        </w:rPr>
      </w:pPr>
      <w:r>
        <w:rPr>
          <w:sz w:val="20"/>
        </w:rPr>
        <w:t>Fond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zavazuje</w:t>
      </w:r>
      <w:r>
        <w:rPr>
          <w:spacing w:val="22"/>
          <w:sz w:val="20"/>
        </w:rPr>
        <w:t> </w:t>
      </w:r>
      <w:r>
        <w:rPr>
          <w:sz w:val="20"/>
        </w:rPr>
        <w:t>poskytnout</w:t>
      </w:r>
      <w:r>
        <w:rPr>
          <w:spacing w:val="22"/>
          <w:sz w:val="20"/>
        </w:rPr>
        <w:t> </w:t>
      </w:r>
      <w:r>
        <w:rPr>
          <w:sz w:val="20"/>
        </w:rPr>
        <w:t>příjemci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podporu</w:t>
      </w:r>
      <w:r>
        <w:rPr>
          <w:spacing w:val="23"/>
          <w:sz w:val="20"/>
        </w:rPr>
        <w:t> </w:t>
      </w:r>
      <w:r>
        <w:rPr>
          <w:sz w:val="20"/>
        </w:rPr>
        <w:t>formou</w:t>
      </w:r>
      <w:r>
        <w:rPr>
          <w:spacing w:val="23"/>
          <w:sz w:val="20"/>
        </w:rPr>
        <w:t> </w:t>
      </w:r>
      <w:r>
        <w:rPr>
          <w:sz w:val="20"/>
        </w:rPr>
        <w:t>dotace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31"/>
          <w:sz w:val="20"/>
        </w:rPr>
        <w:t> </w:t>
      </w:r>
      <w:r>
        <w:rPr>
          <w:b/>
          <w:sz w:val="20"/>
        </w:rPr>
        <w:t>111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960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972,08</w:t>
      </w:r>
      <w:r>
        <w:rPr>
          <w:b/>
          <w:spacing w:val="24"/>
          <w:sz w:val="20"/>
        </w:rPr>
        <w:t> </w:t>
      </w:r>
      <w:r>
        <w:rPr>
          <w:b/>
          <w:spacing w:val="-5"/>
          <w:sz w:val="20"/>
        </w:rPr>
        <w:t>Kč</w:t>
      </w:r>
    </w:p>
    <w:p>
      <w:pPr>
        <w:pStyle w:val="BodyText"/>
        <w:spacing w:before="1"/>
        <w:ind w:left="0" w:right="111"/>
        <w:jc w:val="right"/>
      </w:pPr>
      <w:r>
        <w:rPr>
          <w:w w:val="95"/>
        </w:rPr>
        <w:t>(slovy:</w:t>
      </w:r>
      <w:r>
        <w:rPr>
          <w:spacing w:val="9"/>
        </w:rPr>
        <w:t> </w:t>
      </w:r>
      <w:r>
        <w:rPr>
          <w:w w:val="95"/>
        </w:rPr>
        <w:t>sto</w:t>
      </w:r>
      <w:r>
        <w:rPr>
          <w:spacing w:val="9"/>
        </w:rPr>
        <w:t> </w:t>
      </w:r>
      <w:r>
        <w:rPr>
          <w:w w:val="95"/>
        </w:rPr>
        <w:t>jedenáct</w:t>
      </w:r>
      <w:r>
        <w:rPr>
          <w:spacing w:val="7"/>
        </w:rPr>
        <w:t> </w:t>
      </w:r>
      <w:r>
        <w:rPr>
          <w:w w:val="95"/>
        </w:rPr>
        <w:t>milionů</w:t>
      </w:r>
      <w:r>
        <w:rPr>
          <w:spacing w:val="12"/>
        </w:rPr>
        <w:t> </w:t>
      </w:r>
      <w:r>
        <w:rPr>
          <w:w w:val="95"/>
        </w:rPr>
        <w:t>devět</w:t>
      </w:r>
      <w:r>
        <w:rPr>
          <w:spacing w:val="8"/>
        </w:rPr>
        <w:t> </w:t>
      </w:r>
      <w:r>
        <w:rPr>
          <w:w w:val="95"/>
        </w:rPr>
        <w:t>set</w:t>
      </w:r>
      <w:r>
        <w:rPr>
          <w:spacing w:val="8"/>
        </w:rPr>
        <w:t> </w:t>
      </w:r>
      <w:r>
        <w:rPr>
          <w:w w:val="95"/>
        </w:rPr>
        <w:t>šedesát</w:t>
      </w:r>
      <w:r>
        <w:rPr>
          <w:spacing w:val="7"/>
        </w:rPr>
        <w:t> </w:t>
      </w:r>
      <w:r>
        <w:rPr>
          <w:w w:val="95"/>
        </w:rPr>
        <w:t>tisíc</w:t>
      </w:r>
      <w:r>
        <w:rPr>
          <w:spacing w:val="8"/>
        </w:rPr>
        <w:t> </w:t>
      </w:r>
      <w:r>
        <w:rPr>
          <w:w w:val="95"/>
        </w:rPr>
        <w:t>devět</w:t>
      </w:r>
      <w:r>
        <w:rPr>
          <w:spacing w:val="10"/>
        </w:rPr>
        <w:t> </w:t>
      </w:r>
      <w:r>
        <w:rPr>
          <w:w w:val="95"/>
        </w:rPr>
        <w:t>set</w:t>
      </w:r>
      <w:r>
        <w:rPr>
          <w:spacing w:val="8"/>
        </w:rPr>
        <w:t> </w:t>
      </w:r>
      <w:r>
        <w:rPr>
          <w:w w:val="95"/>
        </w:rPr>
        <w:t>sedmdesát</w:t>
      </w:r>
      <w:r>
        <w:rPr>
          <w:spacing w:val="6"/>
        </w:rPr>
        <w:t> </w:t>
      </w:r>
      <w:r>
        <w:rPr>
          <w:w w:val="95"/>
        </w:rPr>
        <w:t>dvě</w:t>
      </w:r>
      <w:r>
        <w:rPr>
          <w:spacing w:val="14"/>
        </w:rPr>
        <w:t> </w:t>
      </w:r>
      <w:r>
        <w:rPr>
          <w:w w:val="95"/>
        </w:rPr>
        <w:t>korun</w:t>
      </w:r>
      <w:r>
        <w:rPr>
          <w:spacing w:val="9"/>
        </w:rPr>
        <w:t> </w:t>
      </w:r>
      <w:r>
        <w:rPr>
          <w:w w:val="95"/>
        </w:rPr>
        <w:t>českých</w:t>
      </w:r>
      <w:r>
        <w:rPr>
          <w:spacing w:val="9"/>
        </w:rPr>
        <w:t> </w:t>
      </w:r>
      <w:r>
        <w:rPr>
          <w:w w:val="95"/>
        </w:rPr>
        <w:t>a</w:t>
      </w:r>
      <w:r>
        <w:rPr>
          <w:spacing w:val="8"/>
        </w:rPr>
        <w:t> </w:t>
      </w:r>
      <w:r>
        <w:rPr>
          <w:w w:val="95"/>
        </w:rPr>
        <w:t>osm</w:t>
      </w:r>
      <w:r>
        <w:rPr>
          <w:spacing w:val="9"/>
        </w:rPr>
        <w:t> </w:t>
      </w:r>
      <w:r>
        <w:rPr>
          <w:spacing w:val="-2"/>
          <w:w w:val="95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111 960 972,08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09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25. února 2021;</w:t>
      </w:r>
      <w:r>
        <w:rPr>
          <w:spacing w:val="-1"/>
          <w:sz w:val="20"/>
        </w:rPr>
        <w:t> </w:t>
      </w:r>
      <w:r>
        <w:rPr>
          <w:sz w:val="20"/>
        </w:rPr>
        <w:t>ustanovení článku 9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4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článků</w:t>
      </w:r>
      <w:r>
        <w:rPr>
          <w:spacing w:val="-2"/>
          <w:sz w:val="20"/>
        </w:rPr>
        <w:t> </w:t>
      </w:r>
      <w:r>
        <w:rPr>
          <w:sz w:val="20"/>
        </w:rPr>
        <w:t>9 a 10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spacing w:before="1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5149"/>
      </w:tblGrid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514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24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514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365</w:t>
            </w:r>
            <w:r>
              <w:rPr>
                <w:spacing w:val="-2"/>
                <w:sz w:val="20"/>
              </w:rPr>
              <w:t> 893,04</w:t>
            </w:r>
          </w:p>
        </w:tc>
      </w:tr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5149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595</w:t>
            </w:r>
            <w:r>
              <w:rPr>
                <w:spacing w:val="-2"/>
                <w:sz w:val="20"/>
              </w:rPr>
              <w:t> 079,04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4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4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14.3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 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4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4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708" w:footer="1415" w:top="144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10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rekonstrukci</w:t>
      </w:r>
      <w:r>
        <w:rPr>
          <w:spacing w:val="-1"/>
          <w:sz w:val="20"/>
        </w:rPr>
        <w:t> </w:t>
      </w:r>
      <w:r>
        <w:rPr>
          <w:sz w:val="20"/>
        </w:rPr>
        <w:t>obvodových</w:t>
      </w:r>
      <w:r>
        <w:rPr>
          <w:spacing w:val="-2"/>
          <w:sz w:val="20"/>
        </w:rPr>
        <w:t> </w:t>
      </w:r>
      <w:r>
        <w:rPr>
          <w:sz w:val="20"/>
        </w:rPr>
        <w:t>stěn,</w:t>
      </w:r>
      <w:r>
        <w:rPr>
          <w:spacing w:val="-2"/>
          <w:sz w:val="20"/>
        </w:rPr>
        <w:t> </w:t>
      </w:r>
      <w:r>
        <w:rPr>
          <w:sz w:val="20"/>
        </w:rPr>
        <w:t>plochých</w:t>
      </w:r>
      <w:r>
        <w:rPr>
          <w:spacing w:val="-2"/>
          <w:sz w:val="20"/>
        </w:rPr>
        <w:t> </w:t>
      </w:r>
      <w:r>
        <w:rPr>
          <w:sz w:val="20"/>
        </w:rPr>
        <w:t>střech,</w:t>
      </w:r>
      <w:r>
        <w:rPr>
          <w:spacing w:val="-2"/>
          <w:sz w:val="20"/>
        </w:rPr>
        <w:t> </w:t>
      </w:r>
      <w:r>
        <w:rPr>
          <w:sz w:val="20"/>
        </w:rPr>
        <w:t>podlah v</w:t>
      </w:r>
      <w:r>
        <w:rPr>
          <w:spacing w:val="-3"/>
          <w:sz w:val="20"/>
        </w:rPr>
        <w:t> </w:t>
      </w:r>
      <w:r>
        <w:rPr>
          <w:sz w:val="20"/>
        </w:rPr>
        <w:t>kontaktu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zeminou,</w:t>
      </w:r>
      <w:r>
        <w:rPr>
          <w:spacing w:val="-2"/>
          <w:sz w:val="20"/>
        </w:rPr>
        <w:t> </w:t>
      </w:r>
      <w:r>
        <w:rPr>
          <w:sz w:val="20"/>
        </w:rPr>
        <w:t>svislé</w:t>
      </w:r>
      <w:r>
        <w:rPr>
          <w:spacing w:val="-3"/>
          <w:sz w:val="20"/>
        </w:rPr>
        <w:t> </w:t>
      </w:r>
      <w:r>
        <w:rPr>
          <w:sz w:val="20"/>
        </w:rPr>
        <w:t>stěny se</w:t>
      </w:r>
      <w:r>
        <w:rPr>
          <w:spacing w:val="-14"/>
          <w:sz w:val="20"/>
        </w:rPr>
        <w:t> </w:t>
      </w:r>
      <w:r>
        <w:rPr>
          <w:sz w:val="20"/>
        </w:rPr>
        <w:t>zeminou,</w:t>
      </w:r>
      <w:r>
        <w:rPr>
          <w:spacing w:val="-14"/>
          <w:sz w:val="20"/>
        </w:rPr>
        <w:t> </w:t>
      </w:r>
      <w:r>
        <w:rPr>
          <w:sz w:val="20"/>
        </w:rPr>
        <w:t>konstrukcí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nevytápěným</w:t>
      </w:r>
      <w:r>
        <w:rPr>
          <w:spacing w:val="-14"/>
          <w:sz w:val="20"/>
        </w:rPr>
        <w:t> </w:t>
      </w:r>
      <w:r>
        <w:rPr>
          <w:sz w:val="20"/>
        </w:rPr>
        <w:t>prostorům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dále</w:t>
      </w:r>
      <w:r>
        <w:rPr>
          <w:spacing w:val="-14"/>
          <w:sz w:val="20"/>
        </w:rPr>
        <w:t> </w:t>
      </w:r>
      <w:r>
        <w:rPr>
          <w:sz w:val="20"/>
        </w:rPr>
        <w:t>výměny</w:t>
      </w:r>
      <w:r>
        <w:rPr>
          <w:spacing w:val="-14"/>
          <w:sz w:val="20"/>
        </w:rPr>
        <w:t> </w:t>
      </w:r>
      <w:r>
        <w:rPr>
          <w:sz w:val="20"/>
        </w:rPr>
        <w:t>otvorových</w:t>
      </w:r>
      <w:r>
        <w:rPr>
          <w:spacing w:val="-13"/>
          <w:sz w:val="20"/>
        </w:rPr>
        <w:t> </w:t>
      </w:r>
      <w:r>
        <w:rPr>
          <w:sz w:val="20"/>
        </w:rPr>
        <w:t>výplní,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výjimkou</w:t>
      </w:r>
      <w:r>
        <w:rPr>
          <w:spacing w:val="-13"/>
          <w:sz w:val="20"/>
        </w:rPr>
        <w:t> </w:t>
      </w:r>
      <w:r>
        <w:rPr>
          <w:sz w:val="20"/>
        </w:rPr>
        <w:t>oken a dveří situovaných do ulice Hybernská.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3"/>
        <w:gridCol w:w="1626"/>
        <w:gridCol w:w="1705"/>
        <w:gridCol w:w="1647"/>
      </w:tblGrid>
      <w:tr>
        <w:trPr>
          <w:trHeight w:val="769" w:hRule="atLeast"/>
        </w:trPr>
        <w:tc>
          <w:tcPr>
            <w:tcW w:w="3853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26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853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26" w:type="dxa"/>
          </w:tcPr>
          <w:p>
            <w:pPr>
              <w:pStyle w:val="TableParagraph"/>
              <w:spacing w:before="122"/>
              <w:ind w:left="0" w:right="359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423.83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395.18</w:t>
            </w:r>
          </w:p>
        </w:tc>
      </w:tr>
      <w:tr>
        <w:trPr>
          <w:trHeight w:val="506" w:hRule="atLeast"/>
        </w:trPr>
        <w:tc>
          <w:tcPr>
            <w:tcW w:w="3853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26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1880.94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1301.65</w:t>
            </w:r>
          </w:p>
        </w:tc>
      </w:tr>
      <w:tr>
        <w:trPr>
          <w:trHeight w:val="532" w:hRule="atLeast"/>
        </w:trPr>
        <w:tc>
          <w:tcPr>
            <w:tcW w:w="3853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626" w:type="dxa"/>
          </w:tcPr>
          <w:p>
            <w:pPr>
              <w:pStyle w:val="TableParagraph"/>
              <w:spacing w:before="122"/>
              <w:ind w:left="0" w:right="3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1750.56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1432.63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11 písm. d) Výzvy, včetně poznámky pod čarou č. 15 Výzvy),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19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11 písm. b) 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13"/>
          <w:sz w:val="20"/>
        </w:rPr>
        <w:t> </w:t>
      </w:r>
      <w:r>
        <w:rPr>
          <w:sz w:val="20"/>
        </w:rPr>
        <w:t>tzv.</w:t>
      </w:r>
      <w:r>
        <w:rPr>
          <w:spacing w:val="-11"/>
          <w:sz w:val="20"/>
        </w:rPr>
        <w:t> </w:t>
      </w:r>
      <w:r>
        <w:rPr>
          <w:sz w:val="20"/>
        </w:rPr>
        <w:t>dvojímu</w:t>
      </w:r>
      <w:r>
        <w:rPr>
          <w:spacing w:val="-12"/>
          <w:sz w:val="20"/>
        </w:rPr>
        <w:t> </w:t>
      </w:r>
      <w:r>
        <w:rPr>
          <w:sz w:val="20"/>
        </w:rPr>
        <w:t>financování,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postupovat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pokynů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9.2.9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bude dodržen čl. 11 písm. e) a f)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37"/>
          <w:sz w:val="20"/>
        </w:rPr>
        <w:t> </w:t>
      </w:r>
      <w:r>
        <w:rPr>
          <w:sz w:val="20"/>
        </w:rPr>
        <w:t>dokončení</w:t>
      </w:r>
      <w:r>
        <w:rPr>
          <w:spacing w:val="37"/>
          <w:sz w:val="20"/>
        </w:rPr>
        <w:t> </w:t>
      </w:r>
      <w:r>
        <w:rPr>
          <w:sz w:val="20"/>
        </w:rPr>
        <w:t>akce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41"/>
          <w:sz w:val="20"/>
        </w:rPr>
        <w:t> </w:t>
      </w:r>
      <w:r>
        <w:rPr>
          <w:sz w:val="20"/>
        </w:rPr>
        <w:t>konce</w:t>
      </w:r>
      <w:r>
        <w:rPr>
          <w:spacing w:val="40"/>
          <w:sz w:val="20"/>
        </w:rPr>
        <w:t> </w:t>
      </w:r>
      <w:r>
        <w:rPr>
          <w:sz w:val="20"/>
        </w:rPr>
        <w:t>12/2027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dodržení</w:t>
      </w:r>
      <w:r>
        <w:rPr>
          <w:spacing w:val="38"/>
          <w:sz w:val="20"/>
        </w:rPr>
        <w:t> </w:t>
      </w:r>
      <w:r>
        <w:rPr>
          <w:sz w:val="20"/>
        </w:rPr>
        <w:t>tohoto</w:t>
      </w:r>
      <w:r>
        <w:rPr>
          <w:spacing w:val="38"/>
          <w:sz w:val="20"/>
        </w:rPr>
        <w:t> </w:t>
      </w:r>
      <w:r>
        <w:rPr>
          <w:sz w:val="20"/>
        </w:rPr>
        <w:t>termínu</w:t>
      </w:r>
      <w:r>
        <w:rPr>
          <w:spacing w:val="37"/>
          <w:sz w:val="20"/>
        </w:rPr>
        <w:t> </w:t>
      </w:r>
      <w:r>
        <w:rPr>
          <w:sz w:val="20"/>
        </w:rPr>
        <w:t>Fond</w:t>
      </w:r>
      <w:r>
        <w:rPr>
          <w:spacing w:val="38"/>
          <w:sz w:val="20"/>
        </w:rPr>
        <w:t> </w:t>
      </w:r>
      <w:r>
        <w:rPr>
          <w:sz w:val="20"/>
        </w:rPr>
        <w:t>bez</w:t>
      </w:r>
      <w:r>
        <w:rPr>
          <w:spacing w:val="38"/>
          <w:sz w:val="20"/>
        </w:rPr>
        <w:t> </w:t>
      </w:r>
      <w:r>
        <w:rPr>
          <w:spacing w:val="-2"/>
          <w:sz w:val="20"/>
        </w:rPr>
        <w:t>zbytečného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415" w:top="1440" w:bottom="1600" w:left="1320" w:right="1020"/>
        </w:sectPr>
      </w:pPr>
    </w:p>
    <w:p>
      <w:pPr>
        <w:pStyle w:val="BodyText"/>
        <w:spacing w:before="14"/>
        <w:ind w:left="1063" w:right="115"/>
      </w:pPr>
      <w:r>
        <w:rPr/>
        <w:t>odkladu</w:t>
      </w:r>
      <w:r>
        <w:rPr>
          <w:spacing w:val="-14"/>
        </w:rPr>
        <w:t> </w:t>
      </w:r>
      <w:r>
        <w:rPr/>
        <w:t>informovat</w:t>
      </w:r>
      <w:r>
        <w:rPr>
          <w:spacing w:val="-14"/>
        </w:rPr>
        <w:t> </w:t>
      </w:r>
      <w:r>
        <w:rPr/>
        <w:t>(termínem</w:t>
      </w:r>
      <w:r>
        <w:rPr>
          <w:spacing w:val="-14"/>
        </w:rPr>
        <w:t> </w:t>
      </w:r>
      <w:r>
        <w:rPr/>
        <w:t>dokončení</w:t>
      </w:r>
      <w:r>
        <w:rPr>
          <w:spacing w:val="-13"/>
        </w:rPr>
        <w:t> </w:t>
      </w:r>
      <w:r>
        <w:rPr/>
        <w:t>akce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rozumí</w:t>
      </w:r>
      <w:r>
        <w:rPr>
          <w:spacing w:val="-13"/>
        </w:rPr>
        <w:t> </w:t>
      </w:r>
      <w:r>
        <w:rPr/>
        <w:t>datum</w:t>
      </w:r>
      <w:r>
        <w:rPr>
          <w:spacing w:val="-13"/>
        </w:rPr>
        <w:t> </w:t>
      </w:r>
      <w:r>
        <w:rPr/>
        <w:t>uvedení</w:t>
      </w:r>
      <w:r>
        <w:rPr>
          <w:spacing w:val="-14"/>
        </w:rPr>
        <w:t> </w:t>
      </w:r>
      <w:r>
        <w:rPr/>
        <w:t>stavby</w:t>
      </w:r>
      <w:r>
        <w:rPr>
          <w:spacing w:val="-14"/>
        </w:rPr>
        <w:t> </w:t>
      </w:r>
      <w:r>
        <w:rPr/>
        <w:t>k</w:t>
      </w:r>
      <w:r>
        <w:rPr>
          <w:spacing w:val="-14"/>
        </w:rPr>
        <w:t> </w:t>
      </w:r>
      <w:r>
        <w:rPr/>
        <w:t>trvalému</w:t>
      </w:r>
      <w:r>
        <w:rPr>
          <w:spacing w:val="-13"/>
        </w:rPr>
        <w:t> </w:t>
      </w:r>
      <w:r>
        <w:rPr/>
        <w:t>provozu, v</w:t>
      </w:r>
      <w:r>
        <w:rPr>
          <w:spacing w:val="16"/>
        </w:rPr>
        <w:t> </w:t>
      </w:r>
      <w:r>
        <w:rPr/>
        <w:t>souladu</w:t>
      </w:r>
      <w:r>
        <w:rPr>
          <w:spacing w:val="18"/>
        </w:rPr>
        <w:t> </w:t>
      </w:r>
      <w:r>
        <w:rPr/>
        <w:t>se</w:t>
      </w:r>
      <w:r>
        <w:rPr>
          <w:spacing w:val="14"/>
        </w:rPr>
        <w:t> </w:t>
      </w:r>
      <w:r>
        <w:rPr/>
        <w:t>zákonem</w:t>
      </w:r>
      <w:r>
        <w:rPr>
          <w:spacing w:val="19"/>
        </w:rPr>
        <w:t> </w:t>
      </w:r>
      <w:r>
        <w:rPr/>
        <w:t>č.</w:t>
      </w:r>
      <w:r>
        <w:rPr>
          <w:spacing w:val="16"/>
        </w:rPr>
        <w:t> </w:t>
      </w:r>
      <w:r>
        <w:rPr/>
        <w:t>183/2006</w:t>
      </w:r>
      <w:r>
        <w:rPr>
          <w:spacing w:val="16"/>
        </w:rPr>
        <w:t> </w:t>
      </w:r>
      <w:r>
        <w:rPr/>
        <w:t>Sb.,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uzemním</w:t>
      </w:r>
      <w:r>
        <w:rPr>
          <w:spacing w:val="17"/>
        </w:rPr>
        <w:t> </w:t>
      </w:r>
      <w:r>
        <w:rPr/>
        <w:t>plánování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stavebním</w:t>
      </w:r>
      <w:r>
        <w:rPr>
          <w:spacing w:val="17"/>
        </w:rPr>
        <w:t> </w:t>
      </w:r>
      <w:r>
        <w:rPr/>
        <w:t>řádu</w:t>
      </w:r>
      <w:r>
        <w:rPr>
          <w:spacing w:val="19"/>
        </w:rPr>
        <w:t> </w:t>
      </w:r>
      <w:r>
        <w:rPr/>
        <w:t>(stavební</w:t>
      </w:r>
      <w:r>
        <w:rPr>
          <w:spacing w:val="16"/>
        </w:rPr>
        <w:t> </w:t>
      </w:r>
      <w:r>
        <w:rPr/>
        <w:t>zákon), v</w:t>
      </w:r>
      <w:r>
        <w:rPr>
          <w:spacing w:val="-14"/>
        </w:rPr>
        <w:t> </w:t>
      </w:r>
      <w:r>
        <w:rPr/>
        <w:t>platném</w:t>
      </w:r>
      <w:r>
        <w:rPr>
          <w:spacing w:val="-14"/>
        </w:rPr>
        <w:t> </w:t>
      </w:r>
      <w:r>
        <w:rPr/>
        <w:t>znění</w:t>
      </w:r>
      <w:r>
        <w:rPr>
          <w:spacing w:val="-14"/>
        </w:rPr>
        <w:t> </w:t>
      </w:r>
      <w:r>
        <w:rPr/>
        <w:t>(kolaudační</w:t>
      </w:r>
      <w:r>
        <w:rPr>
          <w:spacing w:val="-13"/>
        </w:rPr>
        <w:t> </w:t>
      </w:r>
      <w:r>
        <w:rPr/>
        <w:t>souhlas,</w:t>
      </w:r>
      <w:r>
        <w:rPr>
          <w:spacing w:val="-14"/>
        </w:rPr>
        <w:t> </w:t>
      </w:r>
      <w:r>
        <w:rPr/>
        <w:t>doložení</w:t>
      </w:r>
      <w:r>
        <w:rPr>
          <w:spacing w:val="-14"/>
        </w:rPr>
        <w:t> </w:t>
      </w:r>
      <w:r>
        <w:rPr/>
        <w:t>oslovení</w:t>
      </w:r>
      <w:r>
        <w:rPr>
          <w:spacing w:val="-13"/>
        </w:rPr>
        <w:t> </w:t>
      </w:r>
      <w:r>
        <w:rPr/>
        <w:t>stavebního</w:t>
      </w:r>
      <w:r>
        <w:rPr>
          <w:spacing w:val="-14"/>
        </w:rPr>
        <w:t> </w:t>
      </w:r>
      <w:r>
        <w:rPr/>
        <w:t>úřadu,</w:t>
      </w:r>
      <w:r>
        <w:rPr>
          <w:spacing w:val="-14"/>
        </w:rPr>
        <w:t> </w:t>
      </w:r>
      <w:r>
        <w:rPr/>
        <w:t>případně</w:t>
      </w:r>
      <w:r>
        <w:rPr>
          <w:spacing w:val="-13"/>
        </w:rPr>
        <w:t> </w:t>
      </w:r>
      <w:r>
        <w:rPr/>
        <w:t>písemný</w:t>
      </w:r>
      <w:r>
        <w:rPr>
          <w:spacing w:val="-14"/>
        </w:rPr>
        <w:t> </w:t>
      </w:r>
      <w:r>
        <w:rPr/>
        <w:t>souhlas, že stavbu lze užívat)).</w:t>
      </w:r>
    </w:p>
    <w:p>
      <w:pPr>
        <w:pStyle w:val="BodyText"/>
        <w:spacing w:before="122"/>
        <w:ind w:left="1063" w:right="112"/>
      </w:pPr>
      <w:r>
        <w:rPr/>
        <w:t>V případě, že uvedená realizační lhůta uběhla před uzavřením této Smlouvy, příjemce podpory prohlašuje,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byla</w:t>
      </w:r>
      <w:r>
        <w:rPr>
          <w:spacing w:val="-4"/>
        </w:rPr>
        <w:t> </w:t>
      </w:r>
      <w:r>
        <w:rPr/>
        <w:t>dodržena</w:t>
      </w:r>
      <w:r>
        <w:rPr>
          <w:spacing w:val="-4"/>
        </w:rPr>
        <w:t> </w:t>
      </w:r>
      <w:r>
        <w:rPr/>
        <w:t>ustanovení</w:t>
      </w:r>
      <w:r>
        <w:rPr>
          <w:spacing w:val="-4"/>
        </w:rPr>
        <w:t> </w:t>
      </w:r>
      <w:r>
        <w:rPr/>
        <w:t>Směrnice</w:t>
      </w:r>
      <w:r>
        <w:rPr>
          <w:spacing w:val="-4"/>
        </w:rPr>
        <w:t> </w:t>
      </w:r>
      <w:r>
        <w:rPr/>
        <w:t>MŽP a</w:t>
      </w:r>
      <w:r>
        <w:rPr>
          <w:spacing w:val="-4"/>
        </w:rPr>
        <w:t> </w:t>
      </w:r>
      <w:r>
        <w:rPr/>
        <w:t>Výzvy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bere</w:t>
      </w:r>
      <w:r>
        <w:rPr>
          <w:spacing w:val="-4"/>
        </w:rPr>
        <w:t> </w:t>
      </w:r>
      <w:r>
        <w:rPr/>
        <w:t>přitom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vědomí,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pokud toto</w:t>
      </w:r>
      <w:r>
        <w:rPr>
          <w:spacing w:val="-14"/>
        </w:rPr>
        <w:t> </w:t>
      </w:r>
      <w:r>
        <w:rPr/>
        <w:t>prohlášení</w:t>
      </w:r>
      <w:r>
        <w:rPr>
          <w:spacing w:val="-14"/>
        </w:rPr>
        <w:t> </w:t>
      </w:r>
      <w:r>
        <w:rPr/>
        <w:t>není</w:t>
      </w:r>
      <w:r>
        <w:rPr>
          <w:spacing w:val="-14"/>
        </w:rPr>
        <w:t> </w:t>
      </w:r>
      <w:r>
        <w:rPr/>
        <w:t>pravdivé,</w:t>
      </w:r>
      <w:r>
        <w:rPr>
          <w:spacing w:val="-13"/>
        </w:rPr>
        <w:t> </w:t>
      </w:r>
      <w:r>
        <w:rPr/>
        <w:t>bude</w:t>
      </w:r>
      <w:r>
        <w:rPr>
          <w:spacing w:val="-14"/>
        </w:rPr>
        <w:t> </w:t>
      </w:r>
      <w:r>
        <w:rPr/>
        <w:t>přijetí</w:t>
      </w:r>
      <w:r>
        <w:rPr>
          <w:spacing w:val="-14"/>
        </w:rPr>
        <w:t> </w:t>
      </w:r>
      <w:r>
        <w:rPr/>
        <w:t>podpory</w:t>
      </w:r>
      <w:r>
        <w:rPr>
          <w:spacing w:val="-13"/>
        </w:rPr>
        <w:t> </w:t>
      </w:r>
      <w:r>
        <w:rPr/>
        <w:t>podle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Smlouvy</w:t>
      </w:r>
      <w:r>
        <w:rPr>
          <w:spacing w:val="-13"/>
        </w:rPr>
        <w:t> </w:t>
      </w:r>
      <w:r>
        <w:rPr/>
        <w:t>považováno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/>
        <w:t>neoprávněné použití</w:t>
      </w:r>
      <w:r>
        <w:rPr>
          <w:spacing w:val="66"/>
          <w:w w:val="150"/>
        </w:rPr>
        <w:t> </w:t>
      </w:r>
      <w:r>
        <w:rPr/>
        <w:t>finančních</w:t>
      </w:r>
      <w:r>
        <w:rPr>
          <w:spacing w:val="67"/>
          <w:w w:val="150"/>
        </w:rPr>
        <w:t> </w:t>
      </w:r>
      <w:r>
        <w:rPr/>
        <w:t>prostředků</w:t>
      </w:r>
      <w:r>
        <w:rPr>
          <w:spacing w:val="68"/>
          <w:w w:val="150"/>
        </w:rPr>
        <w:t> </w:t>
      </w:r>
      <w:r>
        <w:rPr/>
        <w:t>poskytnutých</w:t>
      </w:r>
      <w:r>
        <w:rPr>
          <w:spacing w:val="67"/>
          <w:w w:val="150"/>
        </w:rPr>
        <w:t> </w:t>
      </w:r>
      <w:r>
        <w:rPr/>
        <w:t>z</w:t>
      </w:r>
      <w:r>
        <w:rPr>
          <w:spacing w:val="69"/>
          <w:w w:val="150"/>
        </w:rPr>
        <w:t> </w:t>
      </w:r>
      <w:r>
        <w:rPr/>
        <w:t>Fondu</w:t>
      </w:r>
      <w:r>
        <w:rPr>
          <w:spacing w:val="68"/>
          <w:w w:val="150"/>
        </w:rPr>
        <w:t> </w:t>
      </w:r>
      <w:r>
        <w:rPr/>
        <w:t>ve</w:t>
      </w:r>
      <w:r>
        <w:rPr>
          <w:spacing w:val="68"/>
          <w:w w:val="150"/>
        </w:rPr>
        <w:t> </w:t>
      </w:r>
      <w:r>
        <w:rPr/>
        <w:t>smyslu</w:t>
      </w:r>
      <w:r>
        <w:rPr>
          <w:spacing w:val="67"/>
          <w:w w:val="150"/>
        </w:rPr>
        <w:t> </w:t>
      </w:r>
      <w:r>
        <w:rPr/>
        <w:t>zákona</w:t>
      </w:r>
      <w:r>
        <w:rPr>
          <w:spacing w:val="68"/>
          <w:w w:val="150"/>
        </w:rPr>
        <w:t> </w:t>
      </w:r>
      <w:r>
        <w:rPr/>
        <w:t>č.</w:t>
      </w:r>
      <w:r>
        <w:rPr>
          <w:spacing w:val="70"/>
          <w:w w:val="150"/>
        </w:rPr>
        <w:t> </w:t>
      </w:r>
      <w:r>
        <w:rPr/>
        <w:t>218/2000</w:t>
      </w:r>
      <w:r>
        <w:rPr>
          <w:spacing w:val="68"/>
          <w:w w:val="150"/>
        </w:rPr>
        <w:t> </w:t>
      </w:r>
      <w:r>
        <w:rPr>
          <w:spacing w:val="-4"/>
        </w:rPr>
        <w:t>Sb.,</w:t>
      </w:r>
    </w:p>
    <w:p>
      <w:pPr>
        <w:pStyle w:val="BodyText"/>
        <w:ind w:left="1063" w:right="109"/>
      </w:pPr>
      <w:r>
        <w:rPr/>
        <w:t>o</w:t>
      </w:r>
      <w:r>
        <w:rPr>
          <w:spacing w:val="-4"/>
        </w:rPr>
        <w:t> </w:t>
      </w:r>
      <w:r>
        <w:rPr/>
        <w:t>rozpočtových</w:t>
      </w:r>
      <w:r>
        <w:rPr>
          <w:spacing w:val="-9"/>
        </w:rPr>
        <w:t> </w:t>
      </w:r>
      <w:r>
        <w:rPr/>
        <w:t>pravidlech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změně</w:t>
      </w:r>
      <w:r>
        <w:rPr>
          <w:spacing w:val="-10"/>
        </w:rPr>
        <w:t> </w:t>
      </w:r>
      <w:r>
        <w:rPr/>
        <w:t>některých</w:t>
      </w:r>
      <w:r>
        <w:rPr>
          <w:spacing w:val="-9"/>
        </w:rPr>
        <w:t> </w:t>
      </w:r>
      <w:r>
        <w:rPr/>
        <w:t>souvisejících</w:t>
      </w:r>
      <w:r>
        <w:rPr>
          <w:spacing w:val="-9"/>
        </w:rPr>
        <w:t> </w:t>
      </w:r>
      <w:r>
        <w:rPr/>
        <w:t>zákonů</w:t>
      </w:r>
      <w:r>
        <w:rPr>
          <w:spacing w:val="-9"/>
        </w:rPr>
        <w:t> </w:t>
      </w:r>
      <w:r>
        <w:rPr/>
        <w:t>(rozpočtová</w:t>
      </w:r>
      <w:r>
        <w:rPr>
          <w:spacing w:val="-7"/>
        </w:rPr>
        <w:t> </w:t>
      </w:r>
      <w:r>
        <w:rPr/>
        <w:t>pravidla),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 pozdějších předpisů,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03/2029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14 bodu 14.4 Výzvy.</w:t>
      </w:r>
    </w:p>
    <w:p>
      <w:pPr>
        <w:pStyle w:val="BodyText"/>
        <w:spacing w:before="118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40" w:bottom="1660" w:left="1320" w:right="1020"/>
        </w:sectPr>
      </w:pPr>
    </w:p>
    <w:p>
      <w:pPr>
        <w:pStyle w:val="BodyText"/>
        <w:spacing w:before="14"/>
        <w:ind w:left="948" w:right="118"/>
      </w:pPr>
      <w:r>
        <w:rPr/>
        <w:t>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11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5,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 nebo podle článku IV bodu 2 písm. a) nebo c),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podpory.</w:t>
      </w:r>
      <w:r>
        <w:rPr>
          <w:spacing w:val="-6"/>
          <w:sz w:val="20"/>
        </w:rPr>
        <w:t> </w:t>
      </w:r>
      <w:r>
        <w:rPr>
          <w:sz w:val="20"/>
        </w:rPr>
        <w:t>Byl-li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a)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druhou nebo třetí</w:t>
      </w:r>
      <w:r>
        <w:rPr>
          <w:spacing w:val="-2"/>
          <w:sz w:val="20"/>
        </w:rPr>
        <w:t> </w:t>
      </w:r>
      <w:r>
        <w:rPr>
          <w:sz w:val="20"/>
        </w:rPr>
        <w:t>odrážkou na</w:t>
      </w:r>
      <w:r>
        <w:rPr>
          <w:spacing w:val="-3"/>
          <w:sz w:val="20"/>
        </w:rPr>
        <w:t> </w:t>
      </w:r>
      <w:r>
        <w:rPr>
          <w:sz w:val="20"/>
        </w:rPr>
        <w:t>méně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50 %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 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50-79,99</w:t>
      </w:r>
      <w:r>
        <w:rPr>
          <w:spacing w:val="64"/>
          <w:sz w:val="20"/>
        </w:rPr>
        <w:t> </w:t>
      </w:r>
      <w:r>
        <w:rPr>
          <w:sz w:val="20"/>
        </w:rPr>
        <w:t>%</w:t>
      </w:r>
      <w:r>
        <w:rPr>
          <w:spacing w:val="63"/>
          <w:sz w:val="20"/>
        </w:rPr>
        <w:t> </w:t>
      </w:r>
      <w:r>
        <w:rPr>
          <w:sz w:val="20"/>
        </w:rPr>
        <w:t>stanovených</w:t>
      </w:r>
      <w:r>
        <w:rPr>
          <w:spacing w:val="63"/>
          <w:sz w:val="20"/>
        </w:rPr>
        <w:t> </w:t>
      </w:r>
      <w:r>
        <w:rPr>
          <w:sz w:val="20"/>
        </w:rPr>
        <w:t>indikátorů,</w:t>
      </w:r>
      <w:r>
        <w:rPr>
          <w:spacing w:val="63"/>
          <w:sz w:val="20"/>
        </w:rPr>
        <w:t> </w:t>
      </w:r>
      <w:r>
        <w:rPr>
          <w:sz w:val="20"/>
        </w:rPr>
        <w:t>bude</w:t>
      </w:r>
      <w:r>
        <w:rPr>
          <w:spacing w:val="62"/>
          <w:sz w:val="20"/>
        </w:rPr>
        <w:t> </w:t>
      </w:r>
      <w:r>
        <w:rPr>
          <w:sz w:val="20"/>
        </w:rPr>
        <w:t>toto</w:t>
      </w:r>
      <w:r>
        <w:rPr>
          <w:spacing w:val="64"/>
          <w:sz w:val="20"/>
        </w:rPr>
        <w:t> </w:t>
      </w:r>
      <w:r>
        <w:rPr>
          <w:sz w:val="20"/>
        </w:rPr>
        <w:t>porušení</w:t>
      </w:r>
      <w:r>
        <w:rPr>
          <w:spacing w:val="63"/>
          <w:sz w:val="20"/>
        </w:rPr>
        <w:t> </w:t>
      </w:r>
      <w:r>
        <w:rPr>
          <w:sz w:val="20"/>
        </w:rPr>
        <w:t>postiženo</w:t>
      </w:r>
      <w:r>
        <w:rPr>
          <w:spacing w:val="64"/>
          <w:sz w:val="20"/>
        </w:rPr>
        <w:t> </w:t>
      </w:r>
      <w:r>
        <w:rPr>
          <w:sz w:val="20"/>
        </w:rPr>
        <w:t>odvodem</w:t>
      </w:r>
      <w:r>
        <w:rPr>
          <w:spacing w:val="64"/>
          <w:sz w:val="20"/>
        </w:rPr>
        <w:t> </w:t>
      </w:r>
      <w:r>
        <w:rPr>
          <w:sz w:val="20"/>
        </w:rPr>
        <w:t>v rozmezí</w:t>
      </w:r>
      <w:r>
        <w:rPr>
          <w:spacing w:val="60"/>
          <w:sz w:val="20"/>
        </w:rPr>
        <w:t> </w:t>
      </w:r>
      <w:r>
        <w:rPr>
          <w:sz w:val="20"/>
        </w:rPr>
        <w:t>10-50</w:t>
      </w:r>
      <w:r>
        <w:rPr>
          <w:spacing w:val="64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80-100 % stanovených indikátorů nebude postiženo odvodem.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right="105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podpisem této Smlouvy prohlašuje, že není v úpadku, likvidaci, nemá žádné závazky po</w:t>
      </w:r>
      <w:r>
        <w:rPr>
          <w:spacing w:val="-9"/>
          <w:sz w:val="20"/>
        </w:rPr>
        <w:t> </w:t>
      </w:r>
      <w:r>
        <w:rPr>
          <w:sz w:val="20"/>
        </w:rPr>
        <w:t>splatnosti</w:t>
      </w:r>
      <w:r>
        <w:rPr>
          <w:spacing w:val="-11"/>
          <w:sz w:val="20"/>
        </w:rPr>
        <w:t> </w:t>
      </w:r>
      <w:r>
        <w:rPr>
          <w:sz w:val="20"/>
        </w:rPr>
        <w:t>vůči</w:t>
      </w:r>
      <w:r>
        <w:rPr>
          <w:spacing w:val="-8"/>
          <w:sz w:val="20"/>
        </w:rPr>
        <w:t> </w:t>
      </w:r>
      <w:r>
        <w:rPr>
          <w:sz w:val="20"/>
        </w:rPr>
        <w:t>státním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veřejným</w:t>
      </w:r>
      <w:r>
        <w:rPr>
          <w:spacing w:val="-10"/>
          <w:sz w:val="20"/>
        </w:rPr>
        <w:t> </w:t>
      </w:r>
      <w:r>
        <w:rPr>
          <w:sz w:val="20"/>
        </w:rPr>
        <w:t>rozpočtům,</w:t>
      </w:r>
      <w:r>
        <w:rPr>
          <w:spacing w:val="-10"/>
          <w:sz w:val="20"/>
        </w:rPr>
        <w:t> </w:t>
      </w:r>
      <w:r>
        <w:rPr>
          <w:sz w:val="20"/>
        </w:rPr>
        <w:t>nedoplatky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daních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nejedná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žadatele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 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15" w:top="1440" w:bottom="1660" w:left="1320" w:right="1020"/>
        </w:sectPr>
      </w:pPr>
    </w:p>
    <w:p>
      <w:pPr>
        <w:pStyle w:val="Heading1"/>
        <w:spacing w:before="14"/>
      </w:pPr>
      <w:r>
        <w:rPr>
          <w:spacing w:val="-4"/>
        </w:rPr>
        <w:t>VII.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708" w:footer="1415" w:top="144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pStyle w:val="BodyText"/>
        <w:spacing w:before="100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708" w:footer="1415" w:top="1440" w:bottom="1660" w:left="1320" w:right="1020"/>
        </w:sectPr>
      </w:pPr>
    </w:p>
    <w:p>
      <w:pPr>
        <w:pStyle w:val="Heading1"/>
        <w:numPr>
          <w:ilvl w:val="0"/>
          <w:numId w:val="9"/>
        </w:numPr>
        <w:tabs>
          <w:tab w:pos="666" w:val="left" w:leader="none"/>
        </w:tabs>
        <w:spacing w:line="240" w:lineRule="auto" w:before="14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40" w:bottom="289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415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4"/>
        </w:rPr>
      </w:pPr>
      <w:r>
        <w:rPr/>
        <w:pict>
          <v:rect style="position:absolute;margin-left:85.103996pt;margin-top:10.960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415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4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415" w:top="144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2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415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415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</w:t>
            </w:r>
          </w:p>
        </w:tc>
      </w:tr>
    </w:tbl>
    <w:p>
      <w:pPr>
        <w:pStyle w:val="BodyText"/>
        <w:spacing w:before="1"/>
        <w:ind w:left="0"/>
        <w:jc w:val="left"/>
        <w:rPr>
          <w:sz w:val="22"/>
        </w:rPr>
      </w:pPr>
      <w:r>
        <w:rPr/>
        <w:pict>
          <v:rect style="position:absolute;margin-left:85.103996pt;margin-top:15.9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15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shledá,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15" w:top="1440" w:bottom="20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</w:t>
            </w:r>
            <w:r>
              <w:rPr>
                <w:sz w:val="22"/>
              </w:rPr>
              <w:t>písm. i),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708" w:footer="1415" w:top="144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41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3180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14999" cy="4667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9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4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2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1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9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2025-05-22T12:37:15Z</dcterms:created>
  <dcterms:modified xsi:type="dcterms:W3CDTF">2025-05-22T12:37:15Z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2025-05-22T00:00:00Z</vt:filetime>
  </property>
</Properties>
</file>