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794E9" w14:textId="77777777" w:rsidR="00BB496F" w:rsidRPr="00090BD6" w:rsidRDefault="00BB496F" w:rsidP="00BB496F">
      <w:pPr>
        <w:pStyle w:val="Normlnweb"/>
        <w:shd w:val="clear" w:color="auto" w:fill="FFFFFF"/>
        <w:spacing w:before="0" w:beforeAutospacing="0" w:after="0" w:afterAutospacing="0" w:line="253" w:lineRule="atLeast"/>
        <w:ind w:left="851" w:right="1121"/>
        <w:jc w:val="center"/>
        <w:rPr>
          <w:rFonts w:asciiTheme="minorHAnsi" w:hAnsiTheme="minorHAnsi" w:cstheme="minorHAnsi"/>
          <w:sz w:val="36"/>
        </w:rPr>
      </w:pPr>
      <w:bookmarkStart w:id="0" w:name="_GoBack"/>
      <w:bookmarkEnd w:id="0"/>
      <w:r w:rsidRPr="00090BD6">
        <w:rPr>
          <w:rFonts w:asciiTheme="minorHAnsi" w:hAnsiTheme="minorHAnsi" w:cstheme="minorHAnsi"/>
          <w:sz w:val="36"/>
        </w:rPr>
        <w:t>Koncerty soudobé hudby Prague Philharmonia</w:t>
      </w:r>
    </w:p>
    <w:p w14:paraId="4D58A39B" w14:textId="563A0BCE" w:rsidR="00BB496F" w:rsidRPr="00090BD6" w:rsidRDefault="00BB496F" w:rsidP="00BB496F">
      <w:pPr>
        <w:pStyle w:val="Normlnweb"/>
        <w:shd w:val="clear" w:color="auto" w:fill="FFFFFF"/>
        <w:spacing w:before="0" w:beforeAutospacing="0" w:after="0" w:afterAutospacing="0" w:line="253" w:lineRule="atLeast"/>
        <w:ind w:left="851" w:right="1121"/>
        <w:jc w:val="center"/>
        <w:rPr>
          <w:rFonts w:asciiTheme="minorHAnsi" w:hAnsiTheme="minorHAnsi" w:cstheme="minorHAnsi"/>
          <w:sz w:val="36"/>
        </w:rPr>
      </w:pPr>
      <w:r w:rsidRPr="00090BD6">
        <w:rPr>
          <w:rFonts w:asciiTheme="minorHAnsi" w:hAnsiTheme="minorHAnsi" w:cstheme="minorHAnsi"/>
          <w:sz w:val="36"/>
        </w:rPr>
        <w:t>Švandovo divadlo – Studio, sez</w:t>
      </w:r>
      <w:r w:rsidR="002142A0">
        <w:rPr>
          <w:rFonts w:asciiTheme="minorHAnsi" w:hAnsiTheme="minorHAnsi" w:cstheme="minorHAnsi"/>
          <w:sz w:val="36"/>
        </w:rPr>
        <w:t>ó</w:t>
      </w:r>
      <w:r w:rsidRPr="00090BD6">
        <w:rPr>
          <w:rFonts w:asciiTheme="minorHAnsi" w:hAnsiTheme="minorHAnsi" w:cstheme="minorHAnsi"/>
          <w:sz w:val="36"/>
        </w:rPr>
        <w:t>na 202</w:t>
      </w:r>
      <w:r w:rsidR="00C22315">
        <w:rPr>
          <w:rFonts w:asciiTheme="minorHAnsi" w:hAnsiTheme="minorHAnsi" w:cstheme="minorHAnsi"/>
          <w:sz w:val="36"/>
        </w:rPr>
        <w:t>5</w:t>
      </w:r>
      <w:r w:rsidR="002142A0">
        <w:rPr>
          <w:rFonts w:asciiTheme="minorHAnsi" w:hAnsiTheme="minorHAnsi" w:cstheme="minorHAnsi"/>
          <w:sz w:val="36"/>
        </w:rPr>
        <w:t>/</w:t>
      </w:r>
      <w:r w:rsidRPr="00090BD6">
        <w:rPr>
          <w:rFonts w:asciiTheme="minorHAnsi" w:hAnsiTheme="minorHAnsi" w:cstheme="minorHAnsi"/>
          <w:sz w:val="36"/>
        </w:rPr>
        <w:t>202</w:t>
      </w:r>
      <w:r w:rsidR="00C22315">
        <w:rPr>
          <w:rFonts w:asciiTheme="minorHAnsi" w:hAnsiTheme="minorHAnsi" w:cstheme="minorHAnsi"/>
          <w:sz w:val="36"/>
        </w:rPr>
        <w:t>6</w:t>
      </w:r>
    </w:p>
    <w:p w14:paraId="5C895FFA" w14:textId="77777777" w:rsidR="00BB496F" w:rsidRPr="002142A0" w:rsidRDefault="00BB496F" w:rsidP="00BB496F">
      <w:pPr>
        <w:pStyle w:val="Normlnweb"/>
        <w:shd w:val="clear" w:color="auto" w:fill="FFFFFF"/>
        <w:spacing w:before="0" w:beforeAutospacing="0" w:after="0" w:afterAutospacing="0" w:line="253" w:lineRule="atLeast"/>
        <w:ind w:left="851" w:right="1121"/>
        <w:jc w:val="center"/>
        <w:rPr>
          <w:rFonts w:asciiTheme="minorHAnsi" w:hAnsiTheme="minorHAnsi" w:cstheme="minorHAnsi"/>
          <w:b/>
          <w:sz w:val="52"/>
        </w:rPr>
      </w:pPr>
      <w:r w:rsidRPr="002142A0">
        <w:rPr>
          <w:rFonts w:asciiTheme="minorHAnsi" w:hAnsiTheme="minorHAnsi" w:cstheme="minorHAnsi"/>
          <w:b/>
          <w:sz w:val="52"/>
        </w:rPr>
        <w:t>Technické požadavky</w:t>
      </w:r>
    </w:p>
    <w:p w14:paraId="1D33DE87" w14:textId="77777777" w:rsidR="00BB496F" w:rsidRPr="00D92702" w:rsidRDefault="00BB496F" w:rsidP="00BB496F">
      <w:pPr>
        <w:rPr>
          <w:rFonts w:cs="Calibri"/>
          <w:b/>
          <w:highlight w:val="cyan"/>
        </w:rPr>
      </w:pPr>
    </w:p>
    <w:p w14:paraId="69EC9950" w14:textId="77777777" w:rsidR="00BB496F" w:rsidRPr="00D92702" w:rsidRDefault="00BB496F" w:rsidP="00BB496F">
      <w:pPr>
        <w:spacing w:after="0"/>
        <w:rPr>
          <w:rFonts w:cs="Calibri"/>
          <w:b/>
          <w:sz w:val="24"/>
          <w:szCs w:val="24"/>
        </w:rPr>
      </w:pPr>
      <w:r w:rsidRPr="00D92702">
        <w:rPr>
          <w:rFonts w:cs="Calibri"/>
          <w:b/>
          <w:sz w:val="24"/>
          <w:szCs w:val="24"/>
        </w:rPr>
        <w:t xml:space="preserve">Termíny koncertů (vždy od 19:00): </w:t>
      </w:r>
    </w:p>
    <w:p w14:paraId="34C27BB6" w14:textId="68F0610D" w:rsidR="00BB496F" w:rsidRDefault="00C22315" w:rsidP="00BB496F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29. 9. 2025</w:t>
      </w:r>
    </w:p>
    <w:p w14:paraId="68C82283" w14:textId="190694D2" w:rsidR="00C22315" w:rsidRDefault="00C22315" w:rsidP="00BB496F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10. 12. 2025</w:t>
      </w:r>
    </w:p>
    <w:p w14:paraId="2C88098B" w14:textId="24BD1DD8" w:rsidR="00C22315" w:rsidRDefault="00C22315" w:rsidP="00BB496F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10. 2. 2026</w:t>
      </w:r>
    </w:p>
    <w:p w14:paraId="062EA729" w14:textId="395F950B" w:rsidR="00C22315" w:rsidRDefault="00C22315" w:rsidP="00BB496F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17. 3. 2026</w:t>
      </w:r>
    </w:p>
    <w:p w14:paraId="22E5972C" w14:textId="08B35A5B" w:rsidR="00C22315" w:rsidRDefault="00C22315" w:rsidP="00BB496F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28. 4. 2026</w:t>
      </w:r>
    </w:p>
    <w:p w14:paraId="2410D34E" w14:textId="77777777" w:rsidR="00BB496F" w:rsidRDefault="00BB496F" w:rsidP="00BB496F">
      <w:pPr>
        <w:spacing w:after="0"/>
        <w:rPr>
          <w:rFonts w:cs="Arial"/>
          <w:sz w:val="24"/>
          <w:szCs w:val="24"/>
        </w:rPr>
      </w:pPr>
    </w:p>
    <w:p w14:paraId="3487172D" w14:textId="77777777" w:rsidR="00BB496F" w:rsidRPr="00A3159F" w:rsidRDefault="00BB496F" w:rsidP="00BB496F">
      <w:pPr>
        <w:spacing w:after="0"/>
        <w:rPr>
          <w:rFonts w:cs="Arial"/>
          <w:b/>
          <w:sz w:val="24"/>
          <w:szCs w:val="24"/>
        </w:rPr>
      </w:pPr>
      <w:r w:rsidRPr="00A3159F">
        <w:rPr>
          <w:rFonts w:cs="Arial"/>
          <w:b/>
          <w:sz w:val="24"/>
          <w:szCs w:val="24"/>
        </w:rPr>
        <w:t>Technické požadavky:</w:t>
      </w:r>
      <w:r w:rsidR="00090BD6">
        <w:rPr>
          <w:rFonts w:cs="Arial"/>
          <w:b/>
          <w:sz w:val="24"/>
          <w:szCs w:val="24"/>
        </w:rPr>
        <w:br/>
      </w:r>
    </w:p>
    <w:p w14:paraId="3D90E9E5" w14:textId="5B6229F2" w:rsidR="00090BD6" w:rsidRDefault="00BB496F" w:rsidP="00BB496F">
      <w:pPr>
        <w:pStyle w:val="Odstavecseseznamem"/>
        <w:numPr>
          <w:ilvl w:val="0"/>
          <w:numId w:val="1"/>
        </w:numPr>
        <w:spacing w:after="0"/>
        <w:rPr>
          <w:rFonts w:cs="Arial"/>
          <w:sz w:val="24"/>
          <w:szCs w:val="24"/>
        </w:rPr>
      </w:pPr>
      <w:r w:rsidRPr="00090BD6">
        <w:rPr>
          <w:rFonts w:cs="Arial"/>
          <w:sz w:val="24"/>
          <w:szCs w:val="24"/>
        </w:rPr>
        <w:t xml:space="preserve">Hlediště 60 míst </w:t>
      </w:r>
      <w:r w:rsidR="002142A0">
        <w:rPr>
          <w:rFonts w:cs="Arial"/>
          <w:sz w:val="24"/>
          <w:szCs w:val="24"/>
        </w:rPr>
        <w:t>(+ přístavky)</w:t>
      </w:r>
    </w:p>
    <w:p w14:paraId="7B69DA24" w14:textId="6A9E2806" w:rsidR="00BB496F" w:rsidRPr="00090BD6" w:rsidRDefault="00090BD6" w:rsidP="00BB496F">
      <w:pPr>
        <w:pStyle w:val="Odstavecseseznamem"/>
        <w:numPr>
          <w:ilvl w:val="0"/>
          <w:numId w:val="1"/>
        </w:num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Naladěné pianino</w:t>
      </w:r>
      <w:r w:rsidR="002142A0">
        <w:rPr>
          <w:rFonts w:cs="Arial"/>
          <w:sz w:val="24"/>
          <w:szCs w:val="24"/>
        </w:rPr>
        <w:t xml:space="preserve"> + klavírní židle „</w:t>
      </w:r>
      <w:proofErr w:type="spellStart"/>
      <w:r w:rsidR="002142A0">
        <w:rPr>
          <w:rFonts w:cs="Arial"/>
          <w:sz w:val="24"/>
          <w:szCs w:val="24"/>
        </w:rPr>
        <w:t>Beethovenka</w:t>
      </w:r>
      <w:proofErr w:type="spellEnd"/>
      <w:r w:rsidR="002142A0">
        <w:rPr>
          <w:rFonts w:cs="Arial"/>
          <w:sz w:val="24"/>
          <w:szCs w:val="24"/>
        </w:rPr>
        <w:t>“</w:t>
      </w:r>
    </w:p>
    <w:p w14:paraId="26E2A31F" w14:textId="77777777" w:rsidR="00BB496F" w:rsidRDefault="00BB496F" w:rsidP="00BB496F">
      <w:pPr>
        <w:pStyle w:val="Odstavecseseznamem"/>
        <w:numPr>
          <w:ilvl w:val="0"/>
          <w:numId w:val="1"/>
        </w:num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Šatny pro posluchače i účinkující</w:t>
      </w:r>
    </w:p>
    <w:p w14:paraId="5F98A278" w14:textId="77777777" w:rsidR="00BB496F" w:rsidRPr="00530041" w:rsidRDefault="00BB496F" w:rsidP="00BB496F">
      <w:pPr>
        <w:pStyle w:val="Odstavecseseznamem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 w:rsidRPr="00530041">
        <w:rPr>
          <w:rFonts w:cs="Arial"/>
          <w:sz w:val="24"/>
          <w:szCs w:val="24"/>
        </w:rPr>
        <w:t>Dostatečné osvětlení pro účinkující, ozvučení mluveného slova pro 2-3 řečníky</w:t>
      </w:r>
      <w:r>
        <w:rPr>
          <w:rFonts w:cs="Arial"/>
          <w:sz w:val="24"/>
          <w:szCs w:val="24"/>
        </w:rPr>
        <w:t xml:space="preserve"> (hand</w:t>
      </w:r>
      <w:r w:rsidR="00090BD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mikrofony)</w:t>
      </w:r>
    </w:p>
    <w:p w14:paraId="7D9DB6FF" w14:textId="77777777" w:rsidR="00BB496F" w:rsidRDefault="00BB496F" w:rsidP="00BB496F">
      <w:pPr>
        <w:pStyle w:val="Odstavecseseznamem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 – 3 křesílka pro moderátorku </w:t>
      </w:r>
      <w:r w:rsidR="00090BD6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hosta (či hosty) + stolek na odložení podkladů apod.</w:t>
      </w:r>
    </w:p>
    <w:p w14:paraId="268259F0" w14:textId="77777777" w:rsidR="00BB496F" w:rsidRDefault="00BB496F" w:rsidP="00BB496F">
      <w:pPr>
        <w:spacing w:after="0"/>
        <w:rPr>
          <w:rFonts w:cs="Calibri"/>
          <w:b/>
          <w:sz w:val="24"/>
          <w:szCs w:val="24"/>
        </w:rPr>
      </w:pPr>
    </w:p>
    <w:p w14:paraId="71C1050E" w14:textId="77777777" w:rsidR="00253F45" w:rsidRDefault="00253F45"/>
    <w:sectPr w:rsidR="00253F45" w:rsidSect="00A62FDF">
      <w:headerReference w:type="default" r:id="rId10"/>
      <w:footerReference w:type="default" r:id="rId11"/>
      <w:pgSz w:w="11906" w:h="16838" w:code="9"/>
      <w:pgMar w:top="1417" w:right="1417" w:bottom="1417" w:left="1417" w:header="2154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FFCDF" w14:textId="77777777" w:rsidR="00B87DC6" w:rsidRDefault="000C59A6">
      <w:pPr>
        <w:spacing w:after="0" w:line="240" w:lineRule="auto"/>
      </w:pPr>
      <w:r>
        <w:separator/>
      </w:r>
    </w:p>
  </w:endnote>
  <w:endnote w:type="continuationSeparator" w:id="0">
    <w:p w14:paraId="0616C659" w14:textId="77777777" w:rsidR="00B87DC6" w:rsidRDefault="000C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cumin Pro Wide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BEA41" w14:textId="77777777" w:rsidR="00CD3A22" w:rsidRDefault="00BB496F">
    <w:pPr>
      <w:pStyle w:val="Zpat"/>
    </w:pPr>
    <w:r w:rsidRPr="001B011E">
      <w:rPr>
        <w:rFonts w:ascii="Acumin Pro Wide" w:hAnsi="Acumin Pro Wide"/>
        <w:noProof/>
        <w:sz w:val="17"/>
        <w:szCs w:val="17"/>
        <w:lang w:eastAsia="cs-CZ"/>
      </w:rPr>
      <w:drawing>
        <wp:anchor distT="0" distB="0" distL="114300" distR="114300" simplePos="0" relativeHeight="251659264" behindDoc="1" locked="0" layoutInCell="1" allowOverlap="1" wp14:anchorId="46E93B69" wp14:editId="7C990EA5">
          <wp:simplePos x="0" y="0"/>
          <wp:positionH relativeFrom="page">
            <wp:align>left</wp:align>
          </wp:positionH>
          <wp:positionV relativeFrom="page">
            <wp:posOffset>9401175</wp:posOffset>
          </wp:positionV>
          <wp:extent cx="7529195" cy="1421762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kf_hlavickovy_papir_2019_patick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69"/>
                  <a:stretch/>
                </pic:blipFill>
                <pic:spPr bwMode="auto">
                  <a:xfrm>
                    <a:off x="0" y="0"/>
                    <a:ext cx="7529195" cy="1421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62E84" w14:textId="77777777" w:rsidR="00B87DC6" w:rsidRDefault="000C59A6">
      <w:pPr>
        <w:spacing w:after="0" w:line="240" w:lineRule="auto"/>
      </w:pPr>
      <w:r>
        <w:separator/>
      </w:r>
    </w:p>
  </w:footnote>
  <w:footnote w:type="continuationSeparator" w:id="0">
    <w:p w14:paraId="1987CE22" w14:textId="77777777" w:rsidR="00B87DC6" w:rsidRDefault="000C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3E7EA" w14:textId="77777777" w:rsidR="00CD3A22" w:rsidRDefault="00BB496F">
    <w:pPr>
      <w:pStyle w:val="Zhlav"/>
    </w:pPr>
    <w:r w:rsidRPr="00CD3A22">
      <w:rPr>
        <w:rFonts w:ascii="Acumin Pro Wide" w:hAnsi="Acumin Pro Wide"/>
        <w:noProof/>
        <w:lang w:eastAsia="cs-CZ"/>
      </w:rPr>
      <w:drawing>
        <wp:anchor distT="0" distB="0" distL="114300" distR="114300" simplePos="0" relativeHeight="251660288" behindDoc="1" locked="0" layoutInCell="1" allowOverlap="1" wp14:anchorId="005DA140" wp14:editId="22FFB5AC">
          <wp:simplePos x="0" y="0"/>
          <wp:positionH relativeFrom="page">
            <wp:align>right</wp:align>
          </wp:positionH>
          <wp:positionV relativeFrom="page">
            <wp:posOffset>41910</wp:posOffset>
          </wp:positionV>
          <wp:extent cx="7550785" cy="1077595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kf_hlavickovy_papir_2019_hlav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06196"/>
    <w:multiLevelType w:val="hybridMultilevel"/>
    <w:tmpl w:val="DA0CABD0"/>
    <w:lvl w:ilvl="0" w:tplc="9698ECEC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6F"/>
    <w:rsid w:val="00090BD6"/>
    <w:rsid w:val="000C59A6"/>
    <w:rsid w:val="002142A0"/>
    <w:rsid w:val="00253F45"/>
    <w:rsid w:val="0073631C"/>
    <w:rsid w:val="00B87DC6"/>
    <w:rsid w:val="00BB496F"/>
    <w:rsid w:val="00C22315"/>
    <w:rsid w:val="00C5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DEB4"/>
  <w15:docId w15:val="{2F6155E3-B001-4221-A577-50D85D6F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496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49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B496F"/>
  </w:style>
  <w:style w:type="paragraph" w:styleId="Zpat">
    <w:name w:val="footer"/>
    <w:basedOn w:val="Normln"/>
    <w:link w:val="ZpatChar"/>
    <w:uiPriority w:val="99"/>
    <w:unhideWhenUsed/>
    <w:rsid w:val="00BB49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B496F"/>
  </w:style>
  <w:style w:type="paragraph" w:styleId="Normlnweb">
    <w:name w:val="Normal (Web)"/>
    <w:basedOn w:val="Normln"/>
    <w:uiPriority w:val="99"/>
    <w:unhideWhenUsed/>
    <w:rsid w:val="00BB4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49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9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25faa-c345-4054-86d9-261fecf04f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67CF4DB8F854E8257D682319DAA55" ma:contentTypeVersion="18" ma:contentTypeDescription="Vytvoří nový dokument" ma:contentTypeScope="" ma:versionID="3d5b8524639315c84362ac5f4fbd80b1">
  <xsd:schema xmlns:xsd="http://www.w3.org/2001/XMLSchema" xmlns:xs="http://www.w3.org/2001/XMLSchema" xmlns:p="http://schemas.microsoft.com/office/2006/metadata/properties" xmlns:ns3="f9c25faa-c345-4054-86d9-261fecf04fe2" xmlns:ns4="a918287c-dec1-41c7-9e85-13506edf21c7" targetNamespace="http://schemas.microsoft.com/office/2006/metadata/properties" ma:root="true" ma:fieldsID="5a931f3b850346f235abb56490b5ef8b" ns3:_="" ns4:_="">
    <xsd:import namespace="f9c25faa-c345-4054-86d9-261fecf04fe2"/>
    <xsd:import namespace="a918287c-dec1-41c7-9e85-13506edf21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5faa-c345-4054-86d9-261fecf04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8287c-dec1-41c7-9e85-13506edf2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34D9B-CC20-44E4-B230-C94097EE1936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918287c-dec1-41c7-9e85-13506edf21c7"/>
    <ds:schemaRef ds:uri="f9c25faa-c345-4054-86d9-261fecf04fe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059773-4928-4151-B731-9DAA325F3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A7828-4D98-4F63-8575-0C71E5E69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25faa-c345-4054-86d9-261fecf04fe2"/>
    <ds:schemaRef ds:uri="a918287c-dec1-41c7-9e85-13506edf2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Seifová</dc:creator>
  <cp:lastModifiedBy>Hana Dohnálková</cp:lastModifiedBy>
  <cp:revision>2</cp:revision>
  <dcterms:created xsi:type="dcterms:W3CDTF">2025-04-22T11:00:00Z</dcterms:created>
  <dcterms:modified xsi:type="dcterms:W3CDTF">2025-04-22T11:00:00Z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0x01010028867CF4DB8F854E8257D682319DAA55</vt:lpwstr>
  </property>
</Properties>
</file>