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28DB689C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8B709E">
        <w:rPr>
          <w:rFonts w:ascii="Palatino Linotype" w:hAnsi="Palatino Linotype" w:cs="Tahoma"/>
          <w:b/>
          <w:sz w:val="28"/>
          <w:szCs w:val="28"/>
          <w:lang w:eastAsia="cs-CZ"/>
        </w:rPr>
        <w:t>17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834E1D3" w14:textId="77777777" w:rsidR="00BE5B2B" w:rsidRPr="00BE5B2B" w:rsidRDefault="00BE5B2B" w:rsidP="00BE5B2B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E5B2B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NOVÁ WAN</w:t>
      </w: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5C73DA34" w:rsidR="005948CB" w:rsidRPr="00BE5B2B" w:rsidRDefault="00BE5B2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BE5B2B">
        <w:rPr>
          <w:rFonts w:ascii="Palatino Linotype" w:hAnsi="Palatino Linotype"/>
          <w:b/>
          <w:bCs/>
          <w:color w:val="000000"/>
          <w:szCs w:val="24"/>
        </w:rPr>
        <w:t>Rozšíření SD WAN – lokality Křížová a Trojská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CF51D7A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BE5B2B">
        <w:rPr>
          <w:rFonts w:ascii="Palatino Linotype" w:hAnsi="Palatino Linotype" w:cs="Tahoma"/>
          <w:b/>
          <w:sz w:val="22"/>
          <w:szCs w:val="28"/>
          <w:lang w:eastAsia="cs-CZ"/>
        </w:rPr>
        <w:t>17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7BC62BAA" w:rsidR="00DA172E" w:rsidRPr="00DA172E" w:rsidRDefault="005D4AC4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ankovní spojení: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7C860B05" w:rsidR="00DA172E" w:rsidRPr="00DA172E" w:rsidRDefault="005D4AC4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íslo účtu: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126C92AD" w:rsidR="00DA172E" w:rsidRPr="00DA172E" w:rsidRDefault="005D4AC4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ankovní spojení: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6A43AAD8" w:rsidR="00DA172E" w:rsidRPr="00DA172E" w:rsidRDefault="005D4AC4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íslo účtu: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21AC1801" w14:textId="77777777" w:rsidR="00DA172E" w:rsidRPr="00DA172E" w:rsidRDefault="00DA172E" w:rsidP="005D4AC4">
      <w:pPr>
        <w:numPr>
          <w:ilvl w:val="12"/>
          <w:numId w:val="0"/>
        </w:numPr>
        <w:overflowPunct/>
        <w:autoSpaceDE/>
        <w:autoSpaceDN/>
        <w:adjustRightInd/>
        <w:spacing w:before="360" w:after="120" w:line="276" w:lineRule="auto"/>
        <w:ind w:firstLine="357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66E50816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BE5B2B">
        <w:rPr>
          <w:rFonts w:ascii="Palatino Linotype" w:hAnsi="Palatino Linotype" w:cs="Arial"/>
          <w:sz w:val="22"/>
          <w:szCs w:val="22"/>
        </w:rPr>
        <w:t>17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BE5B2B">
        <w:rPr>
          <w:rFonts w:ascii="Palatino Linotype" w:hAnsi="Palatino Linotype" w:cs="Arial"/>
          <w:sz w:val="22"/>
          <w:szCs w:val="22"/>
        </w:rPr>
        <w:t>17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BE5B2B">
        <w:rPr>
          <w:rFonts w:ascii="Palatino Linotype" w:hAnsi="Palatino Linotype" w:cs="Arial"/>
          <w:sz w:val="22"/>
          <w:szCs w:val="22"/>
        </w:rPr>
        <w:t>17</w:t>
      </w:r>
    </w:p>
    <w:p w14:paraId="0BDDD142" w14:textId="77777777" w:rsidR="00611918" w:rsidRDefault="00611918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23285F18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BE5B2B">
        <w:rPr>
          <w:rFonts w:ascii="Palatino Linotype" w:hAnsi="Palatino Linotype" w:cs="Arial"/>
          <w:sz w:val="22"/>
          <w:szCs w:val="22"/>
        </w:rPr>
        <w:t>17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5D4AC4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</w:t>
      </w:r>
      <w:r w:rsidR="005D4AC4">
        <w:rPr>
          <w:rFonts w:ascii="Palatino Linotype" w:hAnsi="Palatino Linotype" w:cs="Arial"/>
          <w:sz w:val="22"/>
          <w:szCs w:val="22"/>
        </w:rPr>
        <w:t xml:space="preserve"> 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36AC6F08" w14:textId="050987D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</w:t>
      </w:r>
      <w:r w:rsidR="005D4AC4">
        <w:rPr>
          <w:rFonts w:ascii="Palatino Linotype" w:hAnsi="Palatino Linotype" w:cs="Arial"/>
          <w:sz w:val="22"/>
          <w:szCs w:val="22"/>
        </w:rPr>
        <w:t xml:space="preserve">MPSV </w:t>
      </w:r>
      <w:r w:rsidRPr="004C597F">
        <w:rPr>
          <w:rFonts w:ascii="Palatino Linotype" w:hAnsi="Palatino Linotype" w:cs="Arial"/>
          <w:sz w:val="22"/>
          <w:szCs w:val="22"/>
        </w:rPr>
        <w:t xml:space="preserve">v rámci České republiky (zejména těch vymezených </w:t>
      </w:r>
      <w:r w:rsidR="005D4AC4">
        <w:rPr>
          <w:rFonts w:ascii="Palatino Linotype" w:hAnsi="Palatino Linotype" w:cs="Arial"/>
          <w:sz w:val="22"/>
          <w:szCs w:val="22"/>
        </w:rPr>
        <w:br/>
      </w:r>
      <w:r w:rsidRPr="004C597F">
        <w:rPr>
          <w:rFonts w:ascii="Palatino Linotype" w:hAnsi="Palatino Linotype" w:cs="Arial"/>
          <w:sz w:val="22"/>
          <w:szCs w:val="22"/>
        </w:rPr>
        <w:t xml:space="preserve">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</w:t>
      </w:r>
      <w:r w:rsidR="005D4AC4">
        <w:rPr>
          <w:rFonts w:ascii="Palatino Linotype" w:hAnsi="Palatino Linotype" w:cs="Arial"/>
          <w:sz w:val="22"/>
          <w:szCs w:val="22"/>
        </w:rPr>
        <w:br/>
      </w:r>
      <w:r w:rsidR="00C91E4A" w:rsidRPr="004C597F">
        <w:rPr>
          <w:rFonts w:ascii="Palatino Linotype" w:hAnsi="Palatino Linotype" w:cs="Arial"/>
          <w:sz w:val="22"/>
          <w:szCs w:val="22"/>
        </w:rPr>
        <w:t>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76344DC3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2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787</w:t>
      </w:r>
      <w:r w:rsidR="009D3EA0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575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6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BE5B2B" w:rsidRPr="00BE5B2B">
        <w:rPr>
          <w:rFonts w:ascii="Palatino Linotype" w:hAnsi="Palatino Linotype" w:cs="Arial"/>
          <w:color w:val="000000" w:themeColor="text1"/>
          <w:sz w:val="22"/>
          <w:szCs w:val="22"/>
        </w:rPr>
        <w:t>dva miliony sedm set osmdesát sedm tisíc pět set sedmdesát pět korun českých šedesát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3.372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966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BE5B2B">
        <w:rPr>
          <w:rFonts w:ascii="Palatino Linotype" w:hAnsi="Palatino Linotype" w:cs="Arial"/>
          <w:color w:val="000000" w:themeColor="text1"/>
          <w:sz w:val="22"/>
          <w:szCs w:val="22"/>
        </w:rPr>
        <w:t>48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BE5B2B" w:rsidRPr="00BE5B2B">
        <w:rPr>
          <w:rFonts w:ascii="Palatino Linotype" w:hAnsi="Palatino Linotype" w:cs="Arial"/>
          <w:color w:val="000000" w:themeColor="text1"/>
          <w:sz w:val="22"/>
          <w:szCs w:val="22"/>
        </w:rPr>
        <w:t>tři miliony tři sta sedmdesát dva tisíc devět set šedesát šest korun českých čtyřicet osm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5D14A360" w14:textId="77777777" w:rsidR="005D4AC4" w:rsidRDefault="005D4AC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0C3FD8EC" w14:textId="31B08CC1" w:rsidR="00116327" w:rsidRDefault="00A809DB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lastRenderedPageBreak/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7B745F9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5D4AC4" w:rsidRPr="005D4AC4">
        <w:rPr>
          <w:rFonts w:ascii="Palatino Linotype" w:hAnsi="Palatino Linotype" w:cs="Arial"/>
          <w:sz w:val="22"/>
          <w:szCs w:val="22"/>
        </w:rPr>
        <w:t xml:space="preserve"> </w:t>
      </w:r>
      <w:r w:rsidR="005D4AC4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5D4AC4">
        <w:rPr>
          <w:rFonts w:ascii="Palatino Linotype" w:hAnsi="Palatino Linotype" w:cs="Arial"/>
          <w:sz w:val="22"/>
          <w:szCs w:val="22"/>
        </w:rPr>
        <w:t xml:space="preserve">do </w:t>
      </w:r>
      <w:r w:rsidR="005D4AC4" w:rsidRPr="00116327">
        <w:rPr>
          <w:rFonts w:ascii="Palatino Linotype" w:hAnsi="Palatino Linotype" w:cs="Arial"/>
          <w:sz w:val="22"/>
          <w:szCs w:val="22"/>
        </w:rPr>
        <w:t>datov</w:t>
      </w:r>
      <w:r w:rsidR="005D4AC4">
        <w:rPr>
          <w:rFonts w:ascii="Palatino Linotype" w:hAnsi="Palatino Linotype" w:cs="Arial"/>
          <w:sz w:val="22"/>
          <w:szCs w:val="22"/>
        </w:rPr>
        <w:t>é</w:t>
      </w:r>
      <w:r w:rsidR="005D4AC4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5D4AC4">
        <w:rPr>
          <w:rFonts w:ascii="Palatino Linotype" w:hAnsi="Palatino Linotype" w:cs="Arial"/>
          <w:sz w:val="22"/>
          <w:szCs w:val="22"/>
        </w:rPr>
        <w:t>y Objednatele</w:t>
      </w:r>
      <w:r w:rsidR="005D4AC4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5D4A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5D4AC4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</w:p>
    <w:p w14:paraId="51D8A9D7" w14:textId="6A7F4950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D05443">
        <w:rPr>
          <w:rFonts w:ascii="Palatino Linotype" w:hAnsi="Palatino Linotype" w:cs="Arial"/>
          <w:sz w:val="22"/>
          <w:szCs w:val="22"/>
        </w:rPr>
        <w:t xml:space="preserve">této </w:t>
      </w:r>
      <w:r>
        <w:rPr>
          <w:rFonts w:ascii="Palatino Linotype" w:hAnsi="Palatino Linotype" w:cs="Arial"/>
          <w:sz w:val="22"/>
          <w:szCs w:val="22"/>
        </w:rPr>
        <w:t>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51D66EF4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této Prováděcí smlouv</w:t>
      </w:r>
      <w:r w:rsidR="00D05443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E15B09D" w14:textId="77777777" w:rsidR="005D4AC4" w:rsidRDefault="00611918" w:rsidP="005D4AC4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D4AC4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 w:rsidRPr="005D4AC4">
        <w:rPr>
          <w:rFonts w:ascii="Palatino Linotype" w:hAnsi="Palatino Linotype" w:cs="Arial"/>
          <w:sz w:val="22"/>
          <w:szCs w:val="22"/>
        </w:rPr>
        <w:t>p</w:t>
      </w:r>
      <w:r w:rsidRPr="005D4AC4">
        <w:rPr>
          <w:rFonts w:ascii="Palatino Linotype" w:hAnsi="Palatino Linotype" w:cs="Arial"/>
          <w:sz w:val="22"/>
          <w:szCs w:val="22"/>
        </w:rPr>
        <w:t>říloze č. 1</w:t>
      </w:r>
      <w:r w:rsidR="00842842" w:rsidRPr="005D4AC4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5D4AC4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5D4AC4">
        <w:rPr>
          <w:rFonts w:ascii="Palatino Linotype" w:hAnsi="Palatino Linotype" w:cs="Arial"/>
          <w:sz w:val="22"/>
          <w:szCs w:val="22"/>
        </w:rPr>
        <w:t xml:space="preserve">– </w:t>
      </w:r>
      <w:r w:rsidRPr="005D4AC4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 w:rsidRPr="005D4AC4">
        <w:rPr>
          <w:rFonts w:ascii="Palatino Linotype" w:hAnsi="Palatino Linotype" w:cs="Arial"/>
          <w:sz w:val="22"/>
          <w:szCs w:val="22"/>
        </w:rPr>
        <w:t>.</w:t>
      </w:r>
    </w:p>
    <w:p w14:paraId="22D7F4AD" w14:textId="2537A64D" w:rsidR="00611918" w:rsidRPr="005D4AC4" w:rsidRDefault="00611918" w:rsidP="005D4AC4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D4AC4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5D4AC4">
        <w:rPr>
          <w:rFonts w:ascii="Palatino Linotype" w:hAnsi="Palatino Linotype" w:cs="Arial"/>
          <w:sz w:val="22"/>
          <w:szCs w:val="22"/>
        </w:rPr>
        <w:t xml:space="preserve"> Objednatele</w:t>
      </w:r>
      <w:r w:rsidRPr="005D4AC4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5D4AC4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5D4AC4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5D4AC4">
        <w:rPr>
          <w:rFonts w:ascii="Palatino Linotype" w:hAnsi="Palatino Linotype" w:cs="Arial"/>
          <w:sz w:val="22"/>
          <w:szCs w:val="22"/>
        </w:rPr>
        <w:t>y</w:t>
      </w:r>
      <w:r w:rsidRPr="005D4AC4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5D4AC4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5D4AC4">
        <w:rPr>
          <w:rFonts w:ascii="Palatino Linotype" w:hAnsi="Palatino Linotype" w:cs="Arial"/>
          <w:sz w:val="22"/>
          <w:szCs w:val="22"/>
        </w:rPr>
        <w:t xml:space="preserve"> </w:t>
      </w:r>
      <w:r w:rsidRPr="005D4AC4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5D4AC4">
        <w:rPr>
          <w:rFonts w:ascii="Palatino Linotype" w:hAnsi="Palatino Linotype" w:cs="Arial"/>
          <w:sz w:val="22"/>
          <w:szCs w:val="22"/>
        </w:rPr>
        <w:t xml:space="preserve"> Dodavatele</w:t>
      </w:r>
      <w:r w:rsidRPr="005D4AC4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5D4AC4">
        <w:rPr>
          <w:rFonts w:ascii="Palatino Linotype" w:hAnsi="Palatino Linotype" w:cs="Arial"/>
          <w:sz w:val="22"/>
          <w:szCs w:val="22"/>
        </w:rPr>
        <w:t xml:space="preserve"> účely této</w:t>
      </w:r>
      <w:r w:rsidRPr="005D4AC4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5D4AC4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5D4AC4">
        <w:rPr>
          <w:rFonts w:ascii="Palatino Linotype" w:hAnsi="Palatino Linotype" w:cs="Arial"/>
          <w:sz w:val="22"/>
          <w:szCs w:val="22"/>
        </w:rPr>
        <w:t>y</w:t>
      </w:r>
      <w:r w:rsidR="009E7028" w:rsidRPr="005D4AC4">
        <w:rPr>
          <w:rFonts w:ascii="Palatino Linotype" w:hAnsi="Palatino Linotype" w:cs="Arial"/>
          <w:sz w:val="22"/>
          <w:szCs w:val="22"/>
        </w:rPr>
        <w:t xml:space="preserve"> </w:t>
      </w:r>
      <w:r w:rsidRPr="005D4AC4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5D4AC4">
        <w:rPr>
          <w:rFonts w:ascii="Palatino Linotype" w:hAnsi="Palatino Linotype" w:cs="Arial"/>
          <w:sz w:val="22"/>
          <w:szCs w:val="22"/>
        </w:rPr>
        <w:t> </w:t>
      </w:r>
      <w:r w:rsidR="00842842" w:rsidRPr="005D4AC4">
        <w:rPr>
          <w:rFonts w:ascii="Palatino Linotype" w:hAnsi="Palatino Linotype" w:cs="Arial"/>
          <w:sz w:val="22"/>
          <w:szCs w:val="22"/>
        </w:rPr>
        <w:t>Smluvních</w:t>
      </w:r>
      <w:r w:rsidRPr="005D4AC4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5D4AC4">
        <w:rPr>
          <w:rFonts w:ascii="Palatino Linotype" w:hAnsi="Palatino Linotype" w:cs="Arial"/>
          <w:sz w:val="22"/>
          <w:szCs w:val="22"/>
        </w:rPr>
        <w:t>S</w:t>
      </w:r>
      <w:r w:rsidRPr="005D4AC4">
        <w:rPr>
          <w:rFonts w:ascii="Palatino Linotype" w:hAnsi="Palatino Linotype" w:cs="Arial"/>
          <w:sz w:val="22"/>
          <w:szCs w:val="22"/>
        </w:rPr>
        <w:t>mluvní straně</w:t>
      </w:r>
      <w:r w:rsidR="00E862B2" w:rsidRPr="005D4AC4">
        <w:rPr>
          <w:rFonts w:ascii="Palatino Linotype" w:hAnsi="Palatino Linotype" w:cs="Arial"/>
          <w:sz w:val="22"/>
          <w:szCs w:val="22"/>
        </w:rPr>
        <w:t>, a to písemnou formou</w:t>
      </w:r>
      <w:r w:rsidRPr="005D4AC4">
        <w:rPr>
          <w:rFonts w:ascii="Palatino Linotype" w:hAnsi="Palatino Linotype" w:cs="Arial"/>
          <w:sz w:val="22"/>
          <w:szCs w:val="22"/>
        </w:rPr>
        <w:t xml:space="preserve">. </w:t>
      </w:r>
      <w:r w:rsidR="00367631" w:rsidRPr="005D4AC4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5D4AC4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lastRenderedPageBreak/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302C62F2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526213">
        <w:rPr>
          <w:rFonts w:ascii="Palatino Linotype" w:hAnsi="Palatino Linotype" w:cs="Arial"/>
          <w:sz w:val="22"/>
          <w:szCs w:val="22"/>
        </w:rPr>
        <w:t xml:space="preserve">Prováděcí smlouva nabývá platnosti dnem jejího podpisu oběma </w:t>
      </w:r>
      <w:r w:rsidR="005D4AC4">
        <w:rPr>
          <w:rFonts w:ascii="Palatino Linotype" w:hAnsi="Palatino Linotype" w:cs="Arial"/>
          <w:sz w:val="22"/>
          <w:szCs w:val="22"/>
        </w:rPr>
        <w:t>S</w:t>
      </w:r>
      <w:r w:rsidR="00526213">
        <w:rPr>
          <w:rFonts w:ascii="Palatino Linotype" w:hAnsi="Palatino Linotype" w:cs="Arial"/>
          <w:sz w:val="22"/>
          <w:szCs w:val="22"/>
        </w:rPr>
        <w:t>mluvními stranami. Účinnosti však tato Prováděcí smlouva, v souladu s ustanovením § 6 odst. 1 zákona č. 340/2015 Sb., o zvláštních podmínkách účinnosti některých smluv, uveřejňování těchto smluv a o registru smluv, ve znění pozdějších předpisů, nabývá dnem uveřejnění v registru smluv ve smyslu ustanovení § 4 daného zákona.</w:t>
      </w:r>
    </w:p>
    <w:p w14:paraId="200CDE83" w14:textId="5C7497C6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D05443">
        <w:rPr>
          <w:rFonts w:ascii="Palatino Linotype" w:hAnsi="Palatino Linotype" w:cs="Arial"/>
          <w:sz w:val="22"/>
          <w:szCs w:val="22"/>
        </w:rPr>
        <w:t xml:space="preserve">této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A20A121" w:rsidR="00775471" w:rsidRDefault="00611918" w:rsidP="005D4AC4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1134" w:hanging="425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60D24D79" w:rsidR="00611918" w:rsidRDefault="00611918" w:rsidP="005D4AC4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1134" w:hanging="425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46B2675" w14:textId="0F842347" w:rsidR="000A294F" w:rsidRPr="00C67658" w:rsidRDefault="00E71059" w:rsidP="005D4AC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</w:t>
            </w:r>
            <w:r w:rsidR="005D4AC4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í</w:t>
            </w: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7E4E09F" w14:textId="51BC5CD8" w:rsidR="00881871" w:rsidRPr="005D4AC4" w:rsidRDefault="00881871" w:rsidP="005D4AC4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</w:tc>
      </w:tr>
    </w:tbl>
    <w:p w14:paraId="63D14EC8" w14:textId="62F9E201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5D4AC4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8C284F6" w14:textId="77777777" w:rsidR="00450E17" w:rsidRPr="00450E17" w:rsidRDefault="00450E17" w:rsidP="00450E17">
      <w:pPr>
        <w:rPr>
          <w:rFonts w:ascii="Palatino Linotype" w:hAnsi="Palatino Linotype" w:cs="Arial"/>
          <w:sz w:val="22"/>
          <w:szCs w:val="22"/>
        </w:rPr>
      </w:pPr>
    </w:p>
    <w:p w14:paraId="36EA72F5" w14:textId="6A1BCDC2" w:rsidR="00E71059" w:rsidRDefault="005D4AC4" w:rsidP="00C0052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  <w:r>
        <w:rPr>
          <w:rFonts w:ascii="Palatino Linotype" w:hAnsi="Palatino Linotype" w:cs="Arial"/>
          <w:b/>
          <w:color w:val="000000"/>
          <w:sz w:val="22"/>
          <w:szCs w:val="22"/>
          <w:u w:val="single"/>
        </w:rPr>
        <w:br w:type="page"/>
      </w:r>
    </w:p>
    <w:p w14:paraId="77E7D936" w14:textId="5AFB0DD2" w:rsidR="00450E17" w:rsidRPr="00CF0CED" w:rsidRDefault="00450E17" w:rsidP="00CF0CED">
      <w:pPr>
        <w:spacing w:after="120"/>
        <w:rPr>
          <w:rFonts w:ascii="Palatino Linotype" w:hAnsi="Palatino Linotype" w:cs="Arial"/>
          <w:sz w:val="22"/>
          <w:szCs w:val="22"/>
        </w:rPr>
        <w:sectPr w:rsidR="00450E17" w:rsidRPr="00CF0CED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2CDC05E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5D4AC4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47B18DB4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E7B3" w14:textId="77777777" w:rsidR="00A83A4B" w:rsidRDefault="00A83A4B" w:rsidP="00312D44">
      <w:pPr>
        <w:spacing w:line="240" w:lineRule="auto"/>
      </w:pPr>
      <w:r>
        <w:separator/>
      </w:r>
    </w:p>
  </w:endnote>
  <w:endnote w:type="continuationSeparator" w:id="0">
    <w:p w14:paraId="0220B966" w14:textId="77777777" w:rsidR="00A83A4B" w:rsidRDefault="00A83A4B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C96" w14:textId="77777777" w:rsidR="00AD1483" w:rsidRDefault="00AD14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317E" w14:textId="77777777" w:rsidR="00A83A4B" w:rsidRDefault="00A83A4B" w:rsidP="00312D44">
      <w:pPr>
        <w:spacing w:line="240" w:lineRule="auto"/>
      </w:pPr>
      <w:r>
        <w:separator/>
      </w:r>
    </w:p>
  </w:footnote>
  <w:footnote w:type="continuationSeparator" w:id="0">
    <w:p w14:paraId="0311ADFA" w14:textId="77777777" w:rsidR="00A83A4B" w:rsidRDefault="00A83A4B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D5B3" w14:textId="77777777" w:rsidR="00AD1483" w:rsidRDefault="00AD14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583A135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AD1483">
      <w:t>53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FF923CE"/>
    <w:multiLevelType w:val="multilevel"/>
    <w:tmpl w:val="0D18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454D"/>
    <w:multiLevelType w:val="hybridMultilevel"/>
    <w:tmpl w:val="CA189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973752121">
    <w:abstractNumId w:val="5"/>
  </w:num>
  <w:num w:numId="2" w16cid:durableId="1380276647">
    <w:abstractNumId w:val="8"/>
  </w:num>
  <w:num w:numId="3" w16cid:durableId="607465842">
    <w:abstractNumId w:val="7"/>
  </w:num>
  <w:num w:numId="4" w16cid:durableId="1697582387">
    <w:abstractNumId w:val="35"/>
  </w:num>
  <w:num w:numId="5" w16cid:durableId="1131289245">
    <w:abstractNumId w:val="6"/>
  </w:num>
  <w:num w:numId="6" w16cid:durableId="1160733209">
    <w:abstractNumId w:val="30"/>
  </w:num>
  <w:num w:numId="7" w16cid:durableId="458501012">
    <w:abstractNumId w:val="11"/>
  </w:num>
  <w:num w:numId="8" w16cid:durableId="1793011909">
    <w:abstractNumId w:val="2"/>
  </w:num>
  <w:num w:numId="9" w16cid:durableId="522669024">
    <w:abstractNumId w:val="18"/>
  </w:num>
  <w:num w:numId="10" w16cid:durableId="1927811276">
    <w:abstractNumId w:val="29"/>
  </w:num>
  <w:num w:numId="11" w16cid:durableId="2050451129">
    <w:abstractNumId w:val="25"/>
  </w:num>
  <w:num w:numId="12" w16cid:durableId="124273957">
    <w:abstractNumId w:val="1"/>
  </w:num>
  <w:num w:numId="13" w16cid:durableId="595094853">
    <w:abstractNumId w:val="16"/>
  </w:num>
  <w:num w:numId="14" w16cid:durableId="144395329">
    <w:abstractNumId w:val="0"/>
  </w:num>
  <w:num w:numId="15" w16cid:durableId="727217975">
    <w:abstractNumId w:val="33"/>
  </w:num>
  <w:num w:numId="16" w16cid:durableId="309485860">
    <w:abstractNumId w:val="10"/>
  </w:num>
  <w:num w:numId="17" w16cid:durableId="1292438414">
    <w:abstractNumId w:val="34"/>
  </w:num>
  <w:num w:numId="18" w16cid:durableId="11531772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9643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1122877">
    <w:abstractNumId w:val="14"/>
  </w:num>
  <w:num w:numId="21" w16cid:durableId="1265847188">
    <w:abstractNumId w:val="20"/>
  </w:num>
  <w:num w:numId="22" w16cid:durableId="1885406075">
    <w:abstractNumId w:val="27"/>
  </w:num>
  <w:num w:numId="23" w16cid:durableId="2083986698">
    <w:abstractNumId w:val="21"/>
  </w:num>
  <w:num w:numId="24" w16cid:durableId="1445882372">
    <w:abstractNumId w:val="32"/>
  </w:num>
  <w:num w:numId="25" w16cid:durableId="1546520609">
    <w:abstractNumId w:val="9"/>
  </w:num>
  <w:num w:numId="26" w16cid:durableId="204029374">
    <w:abstractNumId w:val="26"/>
  </w:num>
  <w:num w:numId="27" w16cid:durableId="1998531595">
    <w:abstractNumId w:val="23"/>
  </w:num>
  <w:num w:numId="28" w16cid:durableId="876161283">
    <w:abstractNumId w:val="19"/>
  </w:num>
  <w:num w:numId="29" w16cid:durableId="1842815767">
    <w:abstractNumId w:val="13"/>
  </w:num>
  <w:num w:numId="30" w16cid:durableId="1350062364">
    <w:abstractNumId w:val="15"/>
  </w:num>
  <w:num w:numId="31" w16cid:durableId="1677610544">
    <w:abstractNumId w:val="31"/>
  </w:num>
  <w:num w:numId="32" w16cid:durableId="1102065945">
    <w:abstractNumId w:val="4"/>
  </w:num>
  <w:num w:numId="33" w16cid:durableId="742072483">
    <w:abstractNumId w:val="16"/>
  </w:num>
  <w:num w:numId="34" w16cid:durableId="1418212469">
    <w:abstractNumId w:val="24"/>
  </w:num>
  <w:num w:numId="35" w16cid:durableId="1053239882">
    <w:abstractNumId w:val="17"/>
  </w:num>
  <w:num w:numId="36" w16cid:durableId="673604063">
    <w:abstractNumId w:val="28"/>
  </w:num>
  <w:num w:numId="37" w16cid:durableId="1023941586">
    <w:abstractNumId w:val="3"/>
  </w:num>
  <w:num w:numId="38" w16cid:durableId="586184665">
    <w:abstractNumId w:val="12"/>
  </w:num>
  <w:num w:numId="39" w16cid:durableId="141289670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793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390A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1D3"/>
    <w:rsid w:val="0032055B"/>
    <w:rsid w:val="003245F4"/>
    <w:rsid w:val="0032767A"/>
    <w:rsid w:val="00331FC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0E17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26213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6F0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D4AC4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0E81"/>
    <w:rsid w:val="006A593A"/>
    <w:rsid w:val="006A5DA2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160C8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B709E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713FF"/>
    <w:rsid w:val="00A809DB"/>
    <w:rsid w:val="00A83A4B"/>
    <w:rsid w:val="00A84757"/>
    <w:rsid w:val="00A90607"/>
    <w:rsid w:val="00A95955"/>
    <w:rsid w:val="00AA5447"/>
    <w:rsid w:val="00AC4518"/>
    <w:rsid w:val="00AD1483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E5B2B"/>
    <w:rsid w:val="00BF2556"/>
    <w:rsid w:val="00C00523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05443"/>
    <w:rsid w:val="00D12243"/>
    <w:rsid w:val="00D16E17"/>
    <w:rsid w:val="00D22CE8"/>
    <w:rsid w:val="00D366CC"/>
    <w:rsid w:val="00D37FB3"/>
    <w:rsid w:val="00D416B0"/>
    <w:rsid w:val="00D41AF2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2B5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0D61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0C2C-A6A8-42DF-A208-8DD47D13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1731</Words>
  <Characters>10216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2025-03-12T15:21:00Z</cp:lastPrinted>
  <dcterms:created xsi:type="dcterms:W3CDTF">2025-03-12T15:21:00Z</dcterms:created>
  <dcterms:modified xsi:type="dcterms:W3CDTF">2025-05-22T08:57:00Z</dcterms:modified>
</cp:coreProperties>
</file>