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3100F93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BE3191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14:paraId="31C5A6F9" w14:textId="73C88C8C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BE3191">
        <w:rPr>
          <w:sz w:val="22"/>
          <w:szCs w:val="22"/>
        </w:rPr>
        <w:t>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4045FD36" w:rsidR="009D3AA4" w:rsidRPr="00F7752E" w:rsidRDefault="0085286A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KOVONA a.s.</w:t>
      </w:r>
    </w:p>
    <w:p w14:paraId="5EE075F4" w14:textId="1B34D77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5286A">
        <w:rPr>
          <w:rFonts w:ascii="Times New Roman" w:hAnsi="Times New Roman"/>
          <w:b w:val="0"/>
          <w:sz w:val="22"/>
          <w:szCs w:val="22"/>
        </w:rPr>
        <w:t>Švermova 782, Lysá nad Labem 289 22</w:t>
      </w:r>
    </w:p>
    <w:p w14:paraId="6FDF9EF7" w14:textId="4DD8442E" w:rsidR="002C3119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85286A">
        <w:rPr>
          <w:rFonts w:ascii="Times New Roman" w:hAnsi="Times New Roman"/>
          <w:b w:val="0"/>
          <w:sz w:val="22"/>
          <w:szCs w:val="22"/>
        </w:rPr>
        <w:t xml:space="preserve">Městským </w:t>
      </w:r>
    </w:p>
    <w:p w14:paraId="6419FF1C" w14:textId="476F4000" w:rsidR="009D3AA4" w:rsidRPr="007D54F6" w:rsidRDefault="009D3AA4" w:rsidP="002C3119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85286A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85286A">
        <w:rPr>
          <w:rFonts w:ascii="Times New Roman" w:hAnsi="Times New Roman"/>
          <w:b w:val="0"/>
          <w:sz w:val="22"/>
          <w:szCs w:val="22"/>
        </w:rPr>
        <w:t>B,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85286A">
        <w:rPr>
          <w:rFonts w:ascii="Times New Roman" w:hAnsi="Times New Roman"/>
          <w:b w:val="0"/>
          <w:sz w:val="22"/>
          <w:szCs w:val="22"/>
        </w:rPr>
        <w:t>596</w:t>
      </w:r>
    </w:p>
    <w:p w14:paraId="545CBD79" w14:textId="09D06DC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5286A">
        <w:rPr>
          <w:rFonts w:ascii="Times New Roman" w:hAnsi="Times New Roman"/>
          <w:b w:val="0"/>
          <w:sz w:val="22"/>
          <w:szCs w:val="22"/>
        </w:rPr>
        <w:t>148 01 884</w:t>
      </w:r>
    </w:p>
    <w:p w14:paraId="04DD9ECE" w14:textId="08D5480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5286A">
        <w:rPr>
          <w:rFonts w:ascii="Times New Roman" w:hAnsi="Times New Roman"/>
          <w:b w:val="0"/>
          <w:sz w:val="22"/>
          <w:szCs w:val="22"/>
        </w:rPr>
        <w:t>CZ148 01 884</w:t>
      </w:r>
    </w:p>
    <w:p w14:paraId="45220221" w14:textId="0DC1C0D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E3191">
        <w:rPr>
          <w:rFonts w:ascii="Times New Roman" w:hAnsi="Times New Roman"/>
          <w:b w:val="0"/>
          <w:sz w:val="22"/>
          <w:szCs w:val="22"/>
        </w:rPr>
        <w:t>…………</w:t>
      </w:r>
      <w:r w:rsidR="0085286A">
        <w:rPr>
          <w:rFonts w:ascii="Times New Roman" w:hAnsi="Times New Roman"/>
          <w:b w:val="0"/>
          <w:sz w:val="22"/>
          <w:szCs w:val="22"/>
        </w:rPr>
        <w:t xml:space="preserve"> předseda správní rady</w:t>
      </w:r>
    </w:p>
    <w:p w14:paraId="738BC35C" w14:textId="6518592A" w:rsidR="009D3AA4" w:rsidRPr="002E0AFA" w:rsidRDefault="009D3AA4" w:rsidP="007B090C">
      <w:pPr>
        <w:pStyle w:val="Nadpis"/>
        <w:spacing w:before="60"/>
        <w:ind w:left="2832" w:hanging="2832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E3191">
        <w:rPr>
          <w:rFonts w:ascii="Times New Roman" w:hAnsi="Times New Roman"/>
          <w:b w:val="0"/>
          <w:sz w:val="22"/>
          <w:szCs w:val="22"/>
        </w:rPr>
        <w:t>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306E7E88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Pr="00F27FF4">
        <w:rPr>
          <w:sz w:val="22"/>
          <w:szCs w:val="22"/>
        </w:rPr>
        <w:t>Tendermarket</w:t>
      </w:r>
      <w:proofErr w:type="spellEnd"/>
      <w:r w:rsidRPr="00F27FF4">
        <w:rPr>
          <w:sz w:val="22"/>
          <w:szCs w:val="22"/>
        </w:rPr>
        <w:t xml:space="preserve">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572B89">
        <w:rPr>
          <w:rFonts w:cstheme="minorHAnsi"/>
          <w:b/>
          <w:u w:val="single"/>
        </w:rPr>
        <w:t xml:space="preserve">Nákup </w:t>
      </w:r>
      <w:r w:rsidR="00D875C4">
        <w:rPr>
          <w:rFonts w:cstheme="minorHAnsi"/>
          <w:b/>
          <w:u w:val="single"/>
        </w:rPr>
        <w:t>šatních skříní z ocelového plechu</w:t>
      </w:r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proofErr w:type="spellStart"/>
      <w:r w:rsidR="008F0397" w:rsidRPr="00F27FF4">
        <w:rPr>
          <w:sz w:val="22"/>
          <w:szCs w:val="22"/>
        </w:rPr>
        <w:t>Tendermarket</w:t>
      </w:r>
      <w:proofErr w:type="spellEnd"/>
      <w:r w:rsidR="008F0397" w:rsidRPr="00F27FF4">
        <w:rPr>
          <w:sz w:val="22"/>
          <w:szCs w:val="22"/>
        </w:rPr>
        <w:t>:</w:t>
      </w:r>
      <w:r w:rsidR="00907634">
        <w:rPr>
          <w:sz w:val="22"/>
          <w:szCs w:val="22"/>
        </w:rPr>
        <w:t xml:space="preserve"> </w:t>
      </w:r>
      <w:r w:rsidR="005E1FC5" w:rsidRPr="00315205">
        <w:rPr>
          <w:sz w:val="22"/>
          <w:szCs w:val="22"/>
        </w:rPr>
        <w:t>T004/25V/0000</w:t>
      </w:r>
      <w:r w:rsidR="00D875C4">
        <w:rPr>
          <w:sz w:val="22"/>
          <w:szCs w:val="22"/>
        </w:rPr>
        <w:t>6003</w:t>
      </w:r>
      <w:r w:rsidRPr="00315205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02C76717" w:rsidR="002E0AFA" w:rsidRPr="00572B89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</w:t>
      </w:r>
      <w:r w:rsidR="00A07742">
        <w:rPr>
          <w:sz w:val="22"/>
          <w:szCs w:val="22"/>
        </w:rPr>
        <w:t>–</w:t>
      </w:r>
      <w:r w:rsidR="00D875C4">
        <w:rPr>
          <w:sz w:val="22"/>
          <w:szCs w:val="22"/>
        </w:rPr>
        <w:t xml:space="preserve"> </w:t>
      </w:r>
      <w:r w:rsidR="00D875C4">
        <w:rPr>
          <w:b/>
          <w:bCs/>
          <w:sz w:val="23"/>
          <w:szCs w:val="23"/>
          <w:u w:val="single"/>
        </w:rPr>
        <w:t>20 ks šatních skříní z ocelového plechu</w:t>
      </w:r>
      <w:r w:rsidR="00572B89">
        <w:rPr>
          <w:b/>
          <w:bCs/>
          <w:sz w:val="23"/>
          <w:szCs w:val="23"/>
          <w:u w:val="single"/>
        </w:rPr>
        <w:t>.</w:t>
      </w:r>
    </w:p>
    <w:p w14:paraId="06C2E7E1" w14:textId="0F5793C1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</w:t>
      </w:r>
      <w:r w:rsidR="0012159D">
        <w:rPr>
          <w:bCs/>
          <w:sz w:val="22"/>
          <w:szCs w:val="22"/>
        </w:rPr>
        <w:t>é</w:t>
      </w:r>
      <w:r w:rsidRPr="0059786B">
        <w:rPr>
          <w:bCs/>
          <w:sz w:val="22"/>
          <w:szCs w:val="22"/>
        </w:rPr>
        <w:t xml:space="preserve"> cen</w:t>
      </w:r>
      <w:r w:rsidR="0012159D">
        <w:rPr>
          <w:bCs/>
          <w:sz w:val="22"/>
          <w:szCs w:val="22"/>
        </w:rPr>
        <w:t>y</w:t>
      </w:r>
      <w:r w:rsidRPr="0059786B">
        <w:rPr>
          <w:bCs/>
          <w:sz w:val="22"/>
          <w:szCs w:val="22"/>
        </w:rPr>
        <w:t xml:space="preserve">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</w:t>
      </w:r>
      <w:r w:rsidR="007E7088">
        <w:rPr>
          <w:bCs/>
          <w:sz w:val="22"/>
          <w:szCs w:val="22"/>
        </w:rPr>
        <w:t xml:space="preserve"> vč. nabídkové ceny</w:t>
      </w:r>
      <w:r w:rsidR="009C2BB0">
        <w:rPr>
          <w:bCs/>
          <w:sz w:val="22"/>
          <w:szCs w:val="22"/>
        </w:rPr>
        <w:t xml:space="preserve">, </w:t>
      </w:r>
      <w:r w:rsidRPr="0059786B">
        <w:rPr>
          <w:bCs/>
          <w:sz w:val="22"/>
          <w:szCs w:val="22"/>
        </w:rPr>
        <w:t>kter</w:t>
      </w:r>
      <w:r w:rsidR="0012159D">
        <w:rPr>
          <w:bCs/>
          <w:sz w:val="22"/>
          <w:szCs w:val="22"/>
        </w:rPr>
        <w:t>á</w:t>
      </w:r>
      <w:r w:rsidRPr="0059786B">
        <w:rPr>
          <w:bCs/>
          <w:sz w:val="22"/>
          <w:szCs w:val="22"/>
        </w:rPr>
        <w:t xml:space="preserve"> j</w:t>
      </w:r>
      <w:r w:rsidR="0012159D">
        <w:rPr>
          <w:bCs/>
          <w:sz w:val="22"/>
          <w:szCs w:val="22"/>
        </w:rPr>
        <w:t>e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3AF802D7" w:rsidR="009D3AA4" w:rsidRPr="00D875C4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5791D815" w14:textId="77777777" w:rsidR="00D875C4" w:rsidRPr="00D875C4" w:rsidRDefault="00D875C4" w:rsidP="00D875C4">
      <w:pPr>
        <w:autoSpaceDE w:val="0"/>
        <w:autoSpaceDN w:val="0"/>
        <w:spacing w:before="120"/>
        <w:jc w:val="both"/>
        <w:rPr>
          <w:bCs/>
          <w:sz w:val="22"/>
          <w:szCs w:val="22"/>
        </w:rPr>
      </w:pPr>
    </w:p>
    <w:p w14:paraId="3B584E9D" w14:textId="77777777" w:rsidR="00D875C4" w:rsidRPr="00994861" w:rsidRDefault="00D875C4" w:rsidP="00D875C4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 xml:space="preserve">Dodávaný předmět plnění musí splňovat požadavky na bezpečný výrobek ve smyslu zákona č. </w:t>
      </w:r>
      <w:r>
        <w:rPr>
          <w:sz w:val="22"/>
          <w:szCs w:val="22"/>
        </w:rPr>
        <w:t>387</w:t>
      </w:r>
      <w:r w:rsidRPr="002E0AFA">
        <w:rPr>
          <w:sz w:val="22"/>
          <w:szCs w:val="22"/>
        </w:rPr>
        <w:t>/2</w:t>
      </w:r>
      <w:r>
        <w:rPr>
          <w:sz w:val="22"/>
          <w:szCs w:val="22"/>
        </w:rPr>
        <w:t>024</w:t>
      </w:r>
      <w:r w:rsidRPr="002E0AFA">
        <w:rPr>
          <w:sz w:val="22"/>
          <w:szCs w:val="22"/>
        </w:rPr>
        <w:t xml:space="preserve"> Sb., o obecné bezpečnosti výrobků a o změně některých </w:t>
      </w:r>
      <w:r>
        <w:rPr>
          <w:sz w:val="22"/>
          <w:szCs w:val="22"/>
        </w:rPr>
        <w:t xml:space="preserve">souvisejících </w:t>
      </w:r>
      <w:r w:rsidRPr="002E0AFA">
        <w:rPr>
          <w:sz w:val="22"/>
          <w:szCs w:val="22"/>
        </w:rPr>
        <w:t>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E64BADF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93134A">
        <w:rPr>
          <w:rFonts w:eastAsia="Calibri"/>
          <w:b/>
          <w:bCs/>
          <w:sz w:val="22"/>
          <w:szCs w:val="22"/>
        </w:rPr>
        <w:t>1 měsíce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6E469D">
        <w:rPr>
          <w:rFonts w:eastAsia="Calibri"/>
          <w:b/>
          <w:bCs/>
          <w:sz w:val="22"/>
          <w:szCs w:val="22"/>
        </w:rPr>
        <w:t xml:space="preserve">uzavření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22B61498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85286A">
        <w:rPr>
          <w:b/>
          <w:sz w:val="22"/>
          <w:szCs w:val="22"/>
        </w:rPr>
        <w:t>61 460,-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7B090C">
        <w:rPr>
          <w:sz w:val="22"/>
          <w:szCs w:val="22"/>
        </w:rPr>
        <w:t>12</w:t>
      </w:r>
      <w:r w:rsidR="0085286A">
        <w:rPr>
          <w:sz w:val="22"/>
          <w:szCs w:val="22"/>
        </w:rPr>
        <w:t> 907,-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85286A">
        <w:rPr>
          <w:b/>
          <w:sz w:val="22"/>
          <w:szCs w:val="22"/>
        </w:rPr>
        <w:t>74 367,-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51B53D7A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85286A" w:rsidRPr="0085286A">
        <w:rPr>
          <w:rFonts w:ascii="Times New Roman" w:hAnsi="Times New Roman"/>
          <w:b w:val="0"/>
          <w:color w:val="auto"/>
          <w:sz w:val="22"/>
          <w:szCs w:val="22"/>
          <w:u w:val="single"/>
        </w:rPr>
        <w:t>info@kovo</w:t>
      </w:r>
      <w:r w:rsidR="0085286A">
        <w:rPr>
          <w:rFonts w:ascii="Times New Roman" w:hAnsi="Times New Roman"/>
          <w:b w:val="0"/>
          <w:color w:val="auto"/>
          <w:sz w:val="22"/>
          <w:szCs w:val="22"/>
          <w:u w:val="single"/>
        </w:rPr>
        <w:t>n</w:t>
      </w:r>
      <w:r w:rsidR="0085286A" w:rsidRPr="0085286A">
        <w:rPr>
          <w:rFonts w:ascii="Times New Roman" w:hAnsi="Times New Roman"/>
          <w:b w:val="0"/>
          <w:color w:val="auto"/>
          <w:sz w:val="22"/>
          <w:szCs w:val="22"/>
          <w:u w:val="single"/>
        </w:rPr>
        <w:t>a.com</w:t>
      </w:r>
      <w:r w:rsidR="0085286A" w:rsidRPr="0085286A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lastRenderedPageBreak/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08D9EBD" w14:textId="77777777" w:rsidR="005E1FC5" w:rsidRDefault="005E1FC5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nedodržení smluvních ujednání o záruce, </w:t>
      </w:r>
    </w:p>
    <w:p w14:paraId="209ED1A8" w14:textId="77777777" w:rsidR="00BF45DF" w:rsidRPr="008F0397" w:rsidRDefault="00BF45DF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2DDBA875" w14:textId="5E4B0615" w:rsidR="00583CC5" w:rsidRPr="009C2BB0" w:rsidRDefault="00583C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  <w:r w:rsidR="0012159D">
        <w:rPr>
          <w:noProof/>
          <w:color w:val="000000" w:themeColor="text1"/>
          <w:sz w:val="22"/>
          <w:szCs w:val="22"/>
        </w:rPr>
        <w:t xml:space="preserve"> vč. nabídkové ceny</w:t>
      </w:r>
    </w:p>
    <w:p w14:paraId="5EF98022" w14:textId="52B0C739" w:rsidR="009C2BB0" w:rsidRPr="0069558D" w:rsidRDefault="009C2BB0" w:rsidP="0012159D">
      <w:pPr>
        <w:pStyle w:val="odsazfurt"/>
        <w:ind w:left="435"/>
        <w:jc w:val="left"/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064C528E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BE3191">
        <w:rPr>
          <w:color w:val="000000"/>
          <w:sz w:val="22"/>
          <w:szCs w:val="22"/>
        </w:rPr>
        <w:t>22.5.2025</w:t>
      </w:r>
      <w:r w:rsidR="00BE3191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85286A">
        <w:rPr>
          <w:color w:val="000000"/>
          <w:sz w:val="22"/>
          <w:szCs w:val="22"/>
        </w:rPr>
        <w:t> Lysé nad Labem,</w:t>
      </w:r>
      <w:r w:rsidRPr="007D54F6">
        <w:rPr>
          <w:color w:val="000000"/>
          <w:sz w:val="22"/>
          <w:szCs w:val="22"/>
        </w:rPr>
        <w:t xml:space="preserve"> dne </w:t>
      </w:r>
      <w:r w:rsidR="00BE3191">
        <w:rPr>
          <w:color w:val="000000"/>
          <w:sz w:val="22"/>
          <w:szCs w:val="22"/>
        </w:rPr>
        <w:t>19.5.2025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3907C13E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696721CF" w:rsidR="00583CC5" w:rsidRPr="007D54F6" w:rsidRDefault="00583CC5" w:rsidP="0085286A">
      <w:pPr>
        <w:pStyle w:val="Styl"/>
        <w:tabs>
          <w:tab w:val="left" w:pos="5812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85286A">
        <w:rPr>
          <w:color w:val="000000"/>
          <w:sz w:val="22"/>
          <w:szCs w:val="22"/>
        </w:rPr>
        <w:tab/>
        <w:t>předseda správní rady</w:t>
      </w:r>
      <w:r w:rsidRPr="007D54F6">
        <w:rPr>
          <w:color w:val="000000"/>
          <w:sz w:val="22"/>
          <w:szCs w:val="22"/>
        </w:rPr>
        <w:tab/>
      </w:r>
    </w:p>
    <w:p w14:paraId="2F391DFB" w14:textId="02988E1A" w:rsidR="00583CC5" w:rsidRDefault="00583CC5" w:rsidP="0085286A">
      <w:pPr>
        <w:pStyle w:val="Styl"/>
        <w:tabs>
          <w:tab w:val="center" w:pos="2268"/>
          <w:tab w:val="left" w:pos="6237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 w:rsidR="0085286A">
        <w:rPr>
          <w:color w:val="000000"/>
          <w:sz w:val="22"/>
          <w:szCs w:val="22"/>
        </w:rPr>
        <w:tab/>
        <w:t>KOVONA a.s.</w:t>
      </w:r>
      <w:r>
        <w:rPr>
          <w:color w:val="000000"/>
        </w:rPr>
        <w:tab/>
        <w:t xml:space="preserve">     </w:t>
      </w:r>
    </w:p>
    <w:p w14:paraId="31902FC0" w14:textId="03849AFC" w:rsidR="0085286A" w:rsidRDefault="0085286A" w:rsidP="0085286A">
      <w:pPr>
        <w:pStyle w:val="Styl"/>
        <w:tabs>
          <w:tab w:val="center" w:pos="2268"/>
          <w:tab w:val="left" w:pos="6237"/>
        </w:tabs>
        <w:ind w:left="425" w:hanging="425"/>
        <w:rPr>
          <w:color w:val="000000"/>
        </w:rPr>
      </w:pPr>
    </w:p>
    <w:p w14:paraId="2F584E78" w14:textId="7FA8E123" w:rsidR="0085286A" w:rsidRPr="0085286A" w:rsidRDefault="0085286A" w:rsidP="0085286A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85286A">
        <w:rPr>
          <w:rFonts w:ascii="Calibri" w:hAnsi="Calibri" w:cs="Calibri"/>
          <w:b/>
          <w:szCs w:val="22"/>
        </w:rPr>
        <w:lastRenderedPageBreak/>
        <w:t>Příloha č. 1 - Specifikace předmětu plnění vč. nabídkové ceny</w:t>
      </w:r>
      <w:r w:rsidRPr="0085286A">
        <w:rPr>
          <w:rFonts w:ascii="Calibri" w:hAnsi="Calibri" w:cs="Calibri"/>
          <w:b/>
          <w:i/>
          <w:sz w:val="22"/>
          <w:szCs w:val="22"/>
        </w:rPr>
        <w:tab/>
      </w:r>
      <w:r w:rsidRPr="0085286A">
        <w:rPr>
          <w:rFonts w:ascii="Calibri" w:hAnsi="Calibri" w:cs="Calibri"/>
          <w:b/>
          <w:i/>
          <w:sz w:val="22"/>
          <w:szCs w:val="22"/>
        </w:rPr>
        <w:tab/>
      </w:r>
    </w:p>
    <w:p w14:paraId="63AEF55A" w14:textId="77777777" w:rsidR="0085286A" w:rsidRDefault="0085286A" w:rsidP="0085286A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3"/>
          <w:szCs w:val="23"/>
        </w:rPr>
      </w:pPr>
    </w:p>
    <w:p w14:paraId="4A076B9D" w14:textId="77777777" w:rsidR="0085286A" w:rsidRDefault="0085286A" w:rsidP="0085286A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3"/>
          <w:szCs w:val="23"/>
        </w:rPr>
      </w:pPr>
    </w:p>
    <w:p w14:paraId="19B851C9" w14:textId="77777777" w:rsidR="0085286A" w:rsidRPr="0085286A" w:rsidRDefault="0085286A" w:rsidP="0085286A">
      <w:pPr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  <w:u w:val="single"/>
        </w:rPr>
      </w:pPr>
      <w:r w:rsidRPr="0085286A">
        <w:rPr>
          <w:rFonts w:cstheme="minorHAnsi"/>
          <w:b/>
          <w:bCs/>
          <w:u w:val="single"/>
        </w:rPr>
        <w:t>Šatní skříň s přihrádkami z ocelového plechu</w:t>
      </w:r>
      <w:r w:rsidRPr="0085286A">
        <w:rPr>
          <w:rFonts w:cstheme="minorHAnsi"/>
          <w:b/>
          <w:bCs/>
          <w:u w:val="single"/>
        </w:rPr>
        <w:tab/>
      </w:r>
      <w:r w:rsidRPr="0085286A">
        <w:rPr>
          <w:rFonts w:cstheme="minorHAnsi"/>
          <w:b/>
          <w:bCs/>
          <w:u w:val="single"/>
        </w:rPr>
        <w:tab/>
      </w:r>
      <w:r w:rsidRPr="0085286A">
        <w:rPr>
          <w:rFonts w:cstheme="minorHAnsi"/>
          <w:b/>
          <w:bCs/>
          <w:u w:val="single"/>
        </w:rPr>
        <w:tab/>
        <w:t xml:space="preserve">             </w:t>
      </w:r>
      <w:r w:rsidRPr="0085286A">
        <w:rPr>
          <w:rFonts w:cstheme="minorHAnsi"/>
          <w:b/>
          <w:bCs/>
          <w:u w:val="single"/>
        </w:rPr>
        <w:tab/>
        <w:t xml:space="preserve">20 ks              </w:t>
      </w:r>
      <w:r w:rsidRPr="0085286A">
        <w:rPr>
          <w:rFonts w:cstheme="minorHAnsi"/>
          <w:b/>
          <w:bCs/>
          <w:sz w:val="22"/>
          <w:szCs w:val="22"/>
          <w:u w:val="single"/>
        </w:rPr>
        <w:t xml:space="preserve">    </w:t>
      </w:r>
    </w:p>
    <w:p w14:paraId="4F264723" w14:textId="77777777" w:rsidR="0085286A" w:rsidRPr="0085286A" w:rsidRDefault="0085286A" w:rsidP="0085286A">
      <w:pPr>
        <w:pStyle w:val="Odstavecseseznamem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A83EF9F" w14:textId="77777777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Rozměr (š x v x h): 600x1850x500 mm</w:t>
      </w:r>
    </w:p>
    <w:p w14:paraId="028C5B71" w14:textId="77777777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Materiál: ocelový plech</w:t>
      </w:r>
    </w:p>
    <w:p w14:paraId="5D9CA5C3" w14:textId="2C8E5646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9AE4FB" wp14:editId="1BCB066C">
            <wp:simplePos x="0" y="0"/>
            <wp:positionH relativeFrom="column">
              <wp:posOffset>4166235</wp:posOffset>
            </wp:positionH>
            <wp:positionV relativeFrom="paragraph">
              <wp:posOffset>9525</wp:posOffset>
            </wp:positionV>
            <wp:extent cx="1543050" cy="2918460"/>
            <wp:effectExtent l="0" t="0" r="0" b="0"/>
            <wp:wrapTight wrapText="bothSides">
              <wp:wrapPolygon edited="0">
                <wp:start x="0" y="0"/>
                <wp:lineTo x="0" y="21431"/>
                <wp:lineTo x="21333" y="21431"/>
                <wp:lineTo x="213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86A">
        <w:rPr>
          <w:rFonts w:cstheme="minorHAnsi"/>
          <w:sz w:val="22"/>
          <w:szCs w:val="22"/>
        </w:rPr>
        <w:t>Dvoudveřová</w:t>
      </w:r>
    </w:p>
    <w:p w14:paraId="5D900E05" w14:textId="77777777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Výztuha ve dveřích</w:t>
      </w:r>
    </w:p>
    <w:p w14:paraId="7A76C109" w14:textId="76746002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Barevné provedení dveří: modrá</w:t>
      </w:r>
    </w:p>
    <w:p w14:paraId="38D873B3" w14:textId="77777777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Barevné provedení korpusu: šedá</w:t>
      </w:r>
    </w:p>
    <w:p w14:paraId="62DB7690" w14:textId="4C7C807D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Provedení skříně: na soklu</w:t>
      </w:r>
    </w:p>
    <w:p w14:paraId="186058AB" w14:textId="77777777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Uzavírání dveří cylindrickým zámkem se 2 klíči</w:t>
      </w:r>
    </w:p>
    <w:p w14:paraId="4336503E" w14:textId="77777777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Větrací mřížky na odvádění vlhkosti</w:t>
      </w:r>
    </w:p>
    <w:p w14:paraId="15B1363D" w14:textId="40E075DF" w:rsidR="0085286A" w:rsidRPr="0085286A" w:rsidRDefault="0085286A" w:rsidP="0085286A">
      <w:pPr>
        <w:pStyle w:val="Odstavecseseznamem"/>
        <w:numPr>
          <w:ilvl w:val="0"/>
          <w:numId w:val="36"/>
        </w:numPr>
        <w:spacing w:after="160" w:line="256" w:lineRule="auto"/>
        <w:jc w:val="both"/>
        <w:rPr>
          <w:rFonts w:cstheme="minorHAnsi"/>
          <w:sz w:val="22"/>
          <w:szCs w:val="22"/>
        </w:rPr>
      </w:pPr>
      <w:r w:rsidRPr="0085286A">
        <w:rPr>
          <w:rFonts w:cstheme="minorHAnsi"/>
          <w:sz w:val="22"/>
          <w:szCs w:val="22"/>
        </w:rPr>
        <w:t>Svislá mezistěna rozdělující prostor na část s tyčí na ramínka a část s policemi (viz obrázek)</w:t>
      </w:r>
    </w:p>
    <w:p w14:paraId="4A7A8239" w14:textId="50782773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58E2AA29" w14:textId="77777777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0AA6BE7D" w14:textId="77777777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39E681D9" w14:textId="77777777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5B1043C3" w14:textId="77777777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1A047931" w14:textId="110736F6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09D52778" w14:textId="5CD42D91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  <w:r w:rsidRPr="002E72E0">
        <w:rPr>
          <w:rFonts w:cstheme="minorHAnsi"/>
          <w:i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91EC56" wp14:editId="591BD011">
                <wp:simplePos x="0" y="0"/>
                <wp:positionH relativeFrom="column">
                  <wp:posOffset>4415155</wp:posOffset>
                </wp:positionH>
                <wp:positionV relativeFrom="paragraph">
                  <wp:posOffset>17145</wp:posOffset>
                </wp:positionV>
                <wp:extent cx="1285875" cy="3048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0F3DD" w14:textId="77777777" w:rsidR="0085286A" w:rsidRPr="0085286A" w:rsidRDefault="0085286A" w:rsidP="008528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286A">
                              <w:rPr>
                                <w:sz w:val="22"/>
                                <w:szCs w:val="22"/>
                              </w:rP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EC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7.65pt;margin-top:1.35pt;width:101.2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" filled="f" stroked="f">
                <v:textbox>
                  <w:txbxContent>
                    <w:p w14:paraId="0FA0F3DD" w14:textId="77777777" w:rsidR="0085286A" w:rsidRPr="0085286A" w:rsidRDefault="0085286A" w:rsidP="0085286A">
                      <w:pPr>
                        <w:rPr>
                          <w:sz w:val="22"/>
                          <w:szCs w:val="22"/>
                        </w:rPr>
                      </w:pPr>
                      <w:r w:rsidRPr="0085286A">
                        <w:rPr>
                          <w:sz w:val="22"/>
                          <w:szCs w:val="22"/>
                        </w:rP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AA0F1D" w14:textId="77B1093C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6F129BDB" w14:textId="77777777" w:rsidR="0085286A" w:rsidRDefault="0085286A" w:rsidP="0085286A">
      <w:pPr>
        <w:jc w:val="both"/>
        <w:rPr>
          <w:rFonts w:cstheme="minorHAnsi"/>
          <w:i/>
          <w:sz w:val="23"/>
          <w:szCs w:val="23"/>
        </w:rPr>
      </w:pPr>
    </w:p>
    <w:p w14:paraId="0D38B260" w14:textId="50DAA86D" w:rsidR="0085286A" w:rsidRPr="0085286A" w:rsidRDefault="0085286A" w:rsidP="0085286A">
      <w:pPr>
        <w:autoSpaceDE w:val="0"/>
        <w:autoSpaceDN w:val="0"/>
        <w:adjustRightInd w:val="0"/>
        <w:ind w:left="-142"/>
        <w:jc w:val="both"/>
        <w:rPr>
          <w:b/>
          <w:bCs/>
          <w:i/>
          <w:iCs/>
          <w:color w:val="000000"/>
        </w:rPr>
      </w:pPr>
      <w:r w:rsidRPr="0085286A">
        <w:rPr>
          <w:b/>
          <w:bCs/>
        </w:rPr>
        <w:t>Tabulka specifikace předmětu plnění včetně cen</w:t>
      </w:r>
      <w:r w:rsidRPr="0085286A">
        <w:rPr>
          <w:i/>
        </w:rPr>
        <w:t xml:space="preserve">: </w:t>
      </w:r>
    </w:p>
    <w:p w14:paraId="531FD7F4" w14:textId="727E4079" w:rsidR="0085286A" w:rsidRDefault="0085286A" w:rsidP="0085286A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i/>
          <w:iCs/>
          <w:color w:val="000000"/>
        </w:rPr>
      </w:pPr>
    </w:p>
    <w:tbl>
      <w:tblPr>
        <w:tblpPr w:leftFromText="141" w:rightFromText="141" w:bottomFromText="160" w:vertAnchor="text" w:horzAnchor="margin" w:tblpX="-289" w:tblpY="-37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42"/>
        <w:gridCol w:w="1701"/>
        <w:gridCol w:w="1231"/>
        <w:gridCol w:w="1462"/>
        <w:gridCol w:w="1417"/>
        <w:gridCol w:w="851"/>
        <w:gridCol w:w="1266"/>
      </w:tblGrid>
      <w:tr w:rsidR="0085286A" w14:paraId="7CE78CE8" w14:textId="77777777" w:rsidTr="0085286A">
        <w:trPr>
          <w:trHeight w:val="14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85A2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Polč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511A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D3B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v Kč </w:t>
            </w:r>
          </w:p>
          <w:p w14:paraId="13CD8F6A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 DPH / ks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F5B" w14:textId="77777777" w:rsidR="0085286A" w:rsidRDefault="0085286A" w:rsidP="000F223F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počet </w:t>
            </w:r>
          </w:p>
          <w:p w14:paraId="31399DD7" w14:textId="77777777" w:rsidR="0085286A" w:rsidRDefault="0085286A" w:rsidP="000F223F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FFC0" w14:textId="77777777" w:rsidR="0085286A" w:rsidRDefault="0085286A" w:rsidP="000F223F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cena v Kč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687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3893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Sazba </w:t>
            </w:r>
          </w:p>
          <w:p w14:paraId="078818E0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DPH </w:t>
            </w:r>
          </w:p>
          <w:p w14:paraId="0B2F0911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93CA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Poznámka:</w:t>
            </w:r>
          </w:p>
          <w:p w14:paraId="6DE17237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zboží</w:t>
            </w:r>
          </w:p>
        </w:tc>
      </w:tr>
      <w:tr w:rsidR="0085286A" w14:paraId="60889B30" w14:textId="77777777" w:rsidTr="0085286A">
        <w:trPr>
          <w:trHeight w:val="7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3E5" w14:textId="77777777" w:rsidR="0085286A" w:rsidRPr="00A82EE6" w:rsidRDefault="0085286A" w:rsidP="000F223F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82EE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C86" w14:textId="1A42A79B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Šatní skříně z ocel. plechu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C79" w14:textId="072B171A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3 073,-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5D9" w14:textId="77777777" w:rsidR="0085286A" w:rsidRDefault="0085286A" w:rsidP="000F223F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224" w14:textId="0A6447C3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61 460,-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6E4" w14:textId="79CC40C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74 367,-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D63" w14:textId="0BCFC535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086" w14:textId="6317126F" w:rsidR="0085286A" w:rsidRDefault="0085286A" w:rsidP="000F223F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A51637F</w:t>
            </w:r>
          </w:p>
        </w:tc>
      </w:tr>
      <w:tr w:rsidR="0085286A" w14:paraId="76AC2E29" w14:textId="77777777" w:rsidTr="000F223F">
        <w:trPr>
          <w:trHeight w:val="689"/>
        </w:trPr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75A" w14:textId="77777777" w:rsidR="0085286A" w:rsidRDefault="0085286A" w:rsidP="000F223F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C82" w14:textId="3CC769B2" w:rsidR="0085286A" w:rsidRDefault="0085286A" w:rsidP="000F223F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61 460,-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7F6" w14:textId="58080783" w:rsidR="0085286A" w:rsidRDefault="0085286A" w:rsidP="000F223F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74 367,-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EF3" w14:textId="77777777" w:rsidR="0085286A" w:rsidRDefault="0085286A" w:rsidP="000F223F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</w:tbl>
    <w:p w14:paraId="4673CB96" w14:textId="77777777" w:rsidR="0085286A" w:rsidRDefault="0085286A" w:rsidP="0085286A">
      <w:pPr>
        <w:autoSpaceDE w:val="0"/>
        <w:autoSpaceDN w:val="0"/>
        <w:adjustRightInd w:val="0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113A7743" w14:textId="77777777" w:rsidR="0085286A" w:rsidRDefault="0085286A" w:rsidP="0085286A">
      <w:pPr>
        <w:pStyle w:val="Styl"/>
        <w:tabs>
          <w:tab w:val="center" w:pos="2268"/>
          <w:tab w:val="left" w:pos="6237"/>
        </w:tabs>
        <w:ind w:left="425" w:hanging="425"/>
        <w:rPr>
          <w:b/>
          <w:color w:val="000000"/>
        </w:rPr>
      </w:pPr>
    </w:p>
    <w:sectPr w:rsidR="0085286A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E444" w14:textId="77777777" w:rsidR="00D430BC" w:rsidRDefault="00D430BC" w:rsidP="00583CC5">
      <w:r>
        <w:separator/>
      </w:r>
    </w:p>
  </w:endnote>
  <w:endnote w:type="continuationSeparator" w:id="0">
    <w:p w14:paraId="2B85BBF7" w14:textId="77777777" w:rsidR="00D430BC" w:rsidRDefault="00D430BC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B53F" w14:textId="77777777" w:rsidR="00D430BC" w:rsidRDefault="00D430BC" w:rsidP="00583CC5">
      <w:r>
        <w:separator/>
      </w:r>
    </w:p>
  </w:footnote>
  <w:footnote w:type="continuationSeparator" w:id="0">
    <w:p w14:paraId="4C7432E2" w14:textId="77777777" w:rsidR="00D430BC" w:rsidRDefault="00D430BC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23FB1"/>
    <w:multiLevelType w:val="hybridMultilevel"/>
    <w:tmpl w:val="40C43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4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9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35"/>
  </w:num>
  <w:num w:numId="7">
    <w:abstractNumId w:val="24"/>
  </w:num>
  <w:num w:numId="8">
    <w:abstractNumId w:val="27"/>
  </w:num>
  <w:num w:numId="9">
    <w:abstractNumId w:val="26"/>
  </w:num>
  <w:num w:numId="10">
    <w:abstractNumId w:val="34"/>
  </w:num>
  <w:num w:numId="11">
    <w:abstractNumId w:val="19"/>
  </w:num>
  <w:num w:numId="12">
    <w:abstractNumId w:val="16"/>
  </w:num>
  <w:num w:numId="13">
    <w:abstractNumId w:val="25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3"/>
  </w:num>
  <w:num w:numId="21">
    <w:abstractNumId w:val="21"/>
  </w:num>
  <w:num w:numId="22">
    <w:abstractNumId w:val="28"/>
  </w:num>
  <w:num w:numId="23">
    <w:abstractNumId w:val="31"/>
  </w:num>
  <w:num w:numId="24">
    <w:abstractNumId w:val="4"/>
  </w:num>
  <w:num w:numId="25">
    <w:abstractNumId w:val="22"/>
  </w:num>
  <w:num w:numId="26">
    <w:abstractNumId w:val="23"/>
  </w:num>
  <w:num w:numId="27">
    <w:abstractNumId w:val="20"/>
  </w:num>
  <w:num w:numId="28">
    <w:abstractNumId w:val="9"/>
  </w:num>
  <w:num w:numId="29">
    <w:abstractNumId w:val="30"/>
  </w:num>
  <w:num w:numId="30">
    <w:abstractNumId w:val="17"/>
  </w:num>
  <w:num w:numId="31">
    <w:abstractNumId w:val="32"/>
  </w:num>
  <w:num w:numId="32">
    <w:abstractNumId w:val="5"/>
  </w:num>
  <w:num w:numId="33">
    <w:abstractNumId w:val="7"/>
  </w:num>
  <w:num w:numId="34">
    <w:abstractNumId w:val="11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2159D"/>
    <w:rsid w:val="00165414"/>
    <w:rsid w:val="001A61DA"/>
    <w:rsid w:val="001C32C6"/>
    <w:rsid w:val="001F6B6A"/>
    <w:rsid w:val="00200E55"/>
    <w:rsid w:val="0023186F"/>
    <w:rsid w:val="0028789E"/>
    <w:rsid w:val="002C3119"/>
    <w:rsid w:val="002E0AFA"/>
    <w:rsid w:val="00312A80"/>
    <w:rsid w:val="00315205"/>
    <w:rsid w:val="004E1768"/>
    <w:rsid w:val="00565069"/>
    <w:rsid w:val="00571502"/>
    <w:rsid w:val="00572B89"/>
    <w:rsid w:val="00583CC5"/>
    <w:rsid w:val="0059786B"/>
    <w:rsid w:val="005B540D"/>
    <w:rsid w:val="005E1FC5"/>
    <w:rsid w:val="005E6862"/>
    <w:rsid w:val="00675238"/>
    <w:rsid w:val="0069558D"/>
    <w:rsid w:val="00697787"/>
    <w:rsid w:val="006A3055"/>
    <w:rsid w:val="006E469D"/>
    <w:rsid w:val="00770FBD"/>
    <w:rsid w:val="007A3E39"/>
    <w:rsid w:val="007B090C"/>
    <w:rsid w:val="007D593E"/>
    <w:rsid w:val="007E7088"/>
    <w:rsid w:val="00822C0F"/>
    <w:rsid w:val="00826202"/>
    <w:rsid w:val="008515B9"/>
    <w:rsid w:val="0085286A"/>
    <w:rsid w:val="00893DE1"/>
    <w:rsid w:val="0089602A"/>
    <w:rsid w:val="008B5A5F"/>
    <w:rsid w:val="008F0397"/>
    <w:rsid w:val="00907634"/>
    <w:rsid w:val="0090768A"/>
    <w:rsid w:val="00911FDE"/>
    <w:rsid w:val="009244F9"/>
    <w:rsid w:val="0093134A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33670"/>
    <w:rsid w:val="00AB0FD4"/>
    <w:rsid w:val="00AD3B63"/>
    <w:rsid w:val="00BE3191"/>
    <w:rsid w:val="00BF45DF"/>
    <w:rsid w:val="00C4114B"/>
    <w:rsid w:val="00C5302C"/>
    <w:rsid w:val="00C63BC4"/>
    <w:rsid w:val="00CD0246"/>
    <w:rsid w:val="00CD6EC9"/>
    <w:rsid w:val="00CD6F39"/>
    <w:rsid w:val="00D2067A"/>
    <w:rsid w:val="00D430BC"/>
    <w:rsid w:val="00D875C4"/>
    <w:rsid w:val="00D87F4B"/>
    <w:rsid w:val="00E33B13"/>
    <w:rsid w:val="00E62CF5"/>
    <w:rsid w:val="00EE0C73"/>
    <w:rsid w:val="00F20132"/>
    <w:rsid w:val="00F27FF4"/>
    <w:rsid w:val="00F32A9A"/>
    <w:rsid w:val="00F46FBB"/>
    <w:rsid w:val="00F802FD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2136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11</cp:revision>
  <cp:lastPrinted>2024-01-19T11:25:00Z</cp:lastPrinted>
  <dcterms:created xsi:type="dcterms:W3CDTF">2025-02-18T10:02:00Z</dcterms:created>
  <dcterms:modified xsi:type="dcterms:W3CDTF">2025-05-22T11:58:00Z</dcterms:modified>
</cp:coreProperties>
</file>