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37"/>
          <w:lang w:val="cs-CZ"/>
          <w:spacing w:val="-10"/>
          <w:w w:val="90"/>
          <w:strike w:val="false"/>
          <w:u w:val="singl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5pt;height:11.55pt;z-index:-1000;margin-left:0pt;margin-top:700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1" w:lineRule="auto"/>
                    <w:jc w:val="center"/>
                    <w:framePr w:hAnchor="text" w:vAnchor="text" w:y="14005" w:w="9100" w:h="231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37"/>
          <w:lang w:val="cs-CZ"/>
          <w:spacing w:val="-10"/>
          <w:w w:val="90"/>
          <w:strike w:val="false"/>
          <w:u w:val="single"/>
          <w:vertAlign w:val="baseline"/>
          <w:rFonts w:ascii="Arial" w:hAnsi="Arial"/>
        </w:rPr>
        <w:t xml:space="preserve">Smlouva o vypo</w:t>
      </w:r>
      <w:r>
        <w:rPr>
          <w:b w:val="true"/>
          <w:color w:val="#000000"/>
          <w:sz w:val="37"/>
          <w:lang w:val="cs-CZ"/>
          <w:spacing w:val="-10"/>
          <w:w w:val="90"/>
          <w:strike w:val="false"/>
          <w:u w:val="single"/>
          <w:vertAlign w:val="baseline"/>
          <w:rFonts w:ascii="Arial" w:hAnsi="Arial"/>
        </w:rPr>
        <w:t xml:space="preserve">řádání závazků </w:t>
      </w:r>
    </w:p>
    <w:p>
      <w:pPr>
        <w:ind w:right="0" w:left="0" w:firstLine="0"/>
        <w:spacing w:before="432" w:after="0" w:line="273" w:lineRule="auto"/>
        <w:jc w:val="center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uzav</w:t>
        <w:br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řená dle § 1746, odst. 2 zákona č. 89/2012 Sb., občanský zákoník, v platném znění, mezi těmito
</w:t>
        <w:br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smluvními stranami:</w:t>
      </w:r>
    </w:p>
    <w:p>
      <w:pPr>
        <w:ind w:right="0" w:left="0" w:firstLine="0"/>
        <w:spacing w:before="576" w:after="0" w:line="201" w:lineRule="auto"/>
        <w:jc w:val="left"/>
        <w:rPr>
          <w:b w:val="true"/>
          <w:i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Zhotovitel</w:t>
      </w:r>
    </w:p>
    <w:p>
      <w:pPr>
        <w:ind w:right="0" w:left="0" w:firstLine="0"/>
        <w:spacing w:before="180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Icetechnik.cz, s.r.o.</w:t>
      </w:r>
    </w:p>
    <w:p>
      <w:pPr>
        <w:ind w:right="0" w:left="0" w:firstLine="0"/>
        <w:spacing w:before="144" w:after="0" w:line="240" w:lineRule="auto"/>
        <w:jc w:val="left"/>
        <w:rPr>
          <w:b w:val="true"/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b w:val="true"/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ČO: 08996792</w:t>
      </w:r>
    </w:p>
    <w:p>
      <w:pPr>
        <w:ind w:right="0" w:left="0" w:firstLine="0"/>
        <w:spacing w:before="144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Hostin u Vojkovic 133</w:t>
      </w:r>
    </w:p>
    <w:p>
      <w:pPr>
        <w:ind w:right="0" w:left="0" w:firstLine="0"/>
        <w:spacing w:before="180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277 44 Vojkovice u Kralup nad Vltavou</w:t>
      </w:r>
    </w:p>
    <w:p>
      <w:pPr>
        <w:ind w:right="0" w:left="0" w:firstLine="0"/>
        <w:spacing w:before="144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(dále jen jako „Zhotovitel")</w:t>
      </w:r>
    </w:p>
    <w:p>
      <w:pPr>
        <w:ind w:right="0" w:left="0" w:firstLine="0"/>
        <w:spacing w:before="216" w:after="0" w:line="201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0" w:left="0" w:firstLine="0"/>
        <w:spacing w:before="144" w:after="0" w:line="240" w:lineRule="auto"/>
        <w:jc w:val="left"/>
        <w:rPr>
          <w:b w:val="true"/>
          <w:i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Objednatel</w:t>
      </w:r>
    </w:p>
    <w:p>
      <w:pPr>
        <w:ind w:right="0" w:left="0" w:firstLine="0"/>
        <w:spacing w:before="180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Sportovní za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řízení města Příbram p. o.</w:t>
      </w:r>
    </w:p>
    <w:p>
      <w:pPr>
        <w:ind w:right="0" w:left="0" w:firstLine="0"/>
        <w:spacing w:before="144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Legioná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řů 378, Příbram VII</w:t>
      </w:r>
    </w:p>
    <w:p>
      <w:pPr>
        <w:ind w:right="0" w:left="0" w:firstLine="0"/>
        <w:spacing w:before="216" w:after="0" w:line="196" w:lineRule="auto"/>
        <w:jc w:val="left"/>
        <w:rPr>
          <w:color w:val="#000000"/>
          <w:sz w:val="20"/>
          <w:lang w:val="cs-CZ"/>
          <w:spacing w:val="0"/>
          <w:w w:val="135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0"/>
          <w:w w:val="135"/>
          <w:strike w:val="false"/>
          <w:vertAlign w:val="baseline"/>
          <w:rFonts w:ascii="Tahoma" w:hAnsi="Tahoma"/>
        </w:rPr>
        <w:t xml:space="preserve">IC: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71217975</w:t>
      </w:r>
    </w:p>
    <w:p>
      <w:pPr>
        <w:ind w:right="0" w:left="0" w:firstLine="0"/>
        <w:spacing w:before="180" w:after="0" w:line="204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CZ71217975</w:t>
      </w:r>
    </w:p>
    <w:p>
      <w:pPr>
        <w:ind w:right="0" w:left="72" w:firstLine="0"/>
        <w:spacing w:before="180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(dále jen jako „Objednatel")</w:t>
      </w:r>
    </w:p>
    <w:p>
      <w:pPr>
        <w:ind w:right="0" w:left="0" w:firstLine="0"/>
        <w:spacing w:before="1008" w:after="0" w:line="204" w:lineRule="auto"/>
        <w:jc w:val="center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I.</w:t>
      </w:r>
    </w:p>
    <w:p>
      <w:pPr>
        <w:ind w:right="0" w:left="0" w:firstLine="0"/>
        <w:spacing w:before="144" w:after="0" w:line="240" w:lineRule="auto"/>
        <w:jc w:val="center"/>
        <w:rPr>
          <w:b w:val="true"/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Popis skutkového stavu.</w:t>
      </w:r>
    </w:p>
    <w:p>
      <w:pPr>
        <w:ind w:right="0" w:left="504" w:firstLine="-432"/>
        <w:spacing w:before="252" w:after="0" w:line="273" w:lineRule="auto"/>
        <w:jc w:val="left"/>
        <w:tabs>
          <w:tab w:val="clear" w:pos="432"/>
          <w:tab w:val="decimal" w:pos="504"/>
        </w:tabs>
        <w:numPr>
          <w:ilvl w:val="0"/>
          <w:numId w:val="2"/>
        </w:numP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Smluvní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strany dne 29. ledna 2024 podepsaly objednávku na opravu rolby Junior 2070 dle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cenové nabídky 23NA00537.</w:t>
      </w:r>
    </w:p>
    <w:p>
      <w:pPr>
        <w:ind w:right="0" w:left="504" w:firstLine="-432"/>
        <w:spacing w:before="108" w:after="0" w:line="278" w:lineRule="auto"/>
        <w:jc w:val="both"/>
        <w:tabs>
          <w:tab w:val="clear" w:pos="432"/>
          <w:tab w:val="decimal" w:pos="504"/>
        </w:tabs>
        <w:numPr>
          <w:ilvl w:val="0"/>
          <w:numId w:val="2"/>
        </w:numP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Strana objednatele je povinným subjektem pro uve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řejňování v registru smluv dle smlouvy 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uvedené v ustanovení odst. 1. tohoto článku a má povinnost uzavřenou smlouvu uveřejnit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postupem podle zákona č. 340/2015 Sb., zákon o registru smluv, ve znění pozdějších předpisů.</w:t>
      </w:r>
    </w:p>
    <w:p>
      <w:pPr>
        <w:ind w:right="0" w:left="504" w:firstLine="-432"/>
        <w:spacing w:before="144" w:after="0" w:line="278" w:lineRule="auto"/>
        <w:jc w:val="left"/>
        <w:tabs>
          <w:tab w:val="clear" w:pos="432"/>
          <w:tab w:val="decimal" w:pos="504"/>
        </w:tabs>
        <w:numPr>
          <w:ilvl w:val="0"/>
          <w:numId w:val="2"/>
        </w:numP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Ob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 smluvní strany shodně konstatují, že došlo k uveřejnění této smlouvy v registru smluv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mimo řádný termín, a že jsou si vědomy právních následků s tím spojených.</w:t>
      </w:r>
    </w:p>
    <w:p>
      <w:pPr>
        <w:ind w:right="0" w:left="504" w:firstLine="-432"/>
        <w:spacing w:before="108" w:after="0" w:line="278" w:lineRule="auto"/>
        <w:jc w:val="both"/>
        <w:tabs>
          <w:tab w:val="clear" w:pos="432"/>
          <w:tab w:val="decimal" w:pos="504"/>
        </w:tabs>
        <w:numPr>
          <w:ilvl w:val="0"/>
          <w:numId w:val="2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 zájmu úpravy vzájemných práv a povinností vyplývajících z p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ůvodně sjednané smlouvy, s ohledem na skutečnost, že obě strany jednaly s vědomím závaznosti smlouvy a v souladu </w:t>
      </w:r>
      <w:r>
        <w:rPr>
          <w:color w:val="#000000"/>
          <w:sz w:val="24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s jejím obsahem pinily, co si vzájemně ujednaly, a ve snaze napravit stav vzniklý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 důsledku špatného uveřejnění v registru smluv, sjednávají smluvní strany tuto novou </w:t>
      </w:r>
      <w:r>
        <w:rPr>
          <w:color w:val="#000000"/>
          <w:sz w:val="20"/>
          <w:lang w:val="cs-CZ"/>
          <w:spacing w:val="0"/>
          <w:w w:val="120"/>
          <w:strike w:val="false"/>
          <w:vertAlign w:val="baseline"/>
          <w:rFonts w:ascii="Times New Roman" w:hAnsi="Times New Roman"/>
        </w:rPr>
        <w:t xml:space="preserve">smlouvu ve znění, jak je dále uvedeno.</w:t>
      </w:r>
    </w:p>
    <w:p>
      <w:pPr>
        <w:sectPr>
          <w:pgSz w:w="11918" w:h="16854" w:orient="portrait"/>
          <w:type w:val="nextPage"/>
          <w:textDirection w:val="lrTb"/>
          <w:pgMar w:bottom="925" w:top="1594" w:right="1344" w:left="1414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55pt;height:11.85pt;z-index:-999;margin-left:0pt;margin-top:690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center"/>
                    <w:framePr w:hAnchor="text" w:vAnchor="text" w:y="13814" w:w="9100" w:h="237" w:hSpace="0" w:vSpace="0" w:wrap="3"/>
                    <w:rPr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Práva a závazky smluvních stran</w:t>
      </w:r>
    </w:p>
    <w:p>
      <w:pPr>
        <w:ind w:right="0" w:left="432" w:firstLine="-432"/>
        <w:spacing w:before="72" w:after="0" w:line="268" w:lineRule="auto"/>
        <w:jc w:val="both"/>
        <w:rPr>
          <w:color w:val="#000000"/>
          <w:sz w:val="25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1. Smluvní strany si tímto ujednáním vzájemn</w:t>
      </w:r>
      <w:r>
        <w:rPr>
          <w:color w:val="#000000"/>
          <w:sz w:val="25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 stvrzují, že obsah vzájemných práv a </w:t>
      </w:r>
      <w:r>
        <w:rPr>
          <w:color w:val="#000000"/>
          <w:sz w:val="25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povinností, který touto smlouvou nově sjednávaji, je zcela a beze zbytku vyjádřen textem </w:t>
      </w: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původně sjednané smlouvy'. Lhůty se rovněž řídí původně sjednanou smlouvou a počítají se od uplynutí 31 dnů od data jejího uzavření.</w:t>
      </w:r>
    </w:p>
    <w:p>
      <w:pPr>
        <w:ind w:right="0" w:left="432" w:firstLine="-432"/>
        <w:spacing w:before="108" w:after="0" w:line="266" w:lineRule="auto"/>
        <w:jc w:val="both"/>
        <w:rPr>
          <w:color w:val="#000000"/>
          <w:sz w:val="25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2, Smluvní strany prohlašují. že veškerá vzájemn</w:t>
      </w:r>
      <w:r>
        <w:rPr>
          <w:color w:val="#000000"/>
          <w:sz w:val="25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 poskytnutá pinění na základě původní </w:t>
      </w:r>
      <w:r>
        <w:rPr>
          <w:color w:val="#000000"/>
          <w:sz w:val="25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smlouvy považuji za piněni dle této smlouvy, a že v souvislosti se vzájemně poskytnutým </w:t>
      </w:r>
      <w:r>
        <w:rPr>
          <w:color w:val="#000000"/>
          <w:sz w:val="25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piněním nebudou vzájemně vznášet vůči druhé smluvní straně nároky z titulu </w:t>
      </w: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bezdůvodného obohacení.</w:t>
      </w:r>
    </w:p>
    <w:p>
      <w:pPr>
        <w:ind w:right="0" w:left="504" w:firstLine="-432"/>
        <w:spacing w:before="144" w:after="0" w:line="266" w:lineRule="auto"/>
        <w:jc w:val="both"/>
        <w:tabs>
          <w:tab w:val="clear" w:pos="432"/>
          <w:tab w:val="decimal" w:pos="504"/>
        </w:tabs>
        <w:numPr>
          <w:ilvl w:val="0"/>
          <w:numId w:val="3"/>
        </w:numPr>
        <w:rPr>
          <w:color w:val="#000000"/>
          <w:sz w:val="25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Smluvní strany prohlašují. že veškerá budoucí pin</w:t>
      </w:r>
      <w:r>
        <w:rPr>
          <w:color w:val="#000000"/>
          <w:sz w:val="25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ění z této smlouvy, která mají být od </w:t>
      </w: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okamžiku jejího uveřejnění v registru smluv piněna v souladu s obsahem vzájemných závazků vyjádřeným v příloze této smlouvy, budou spiněna podle sjednaných podmínek.</w:t>
      </w:r>
    </w:p>
    <w:p>
      <w:pPr>
        <w:ind w:right="0" w:left="504" w:firstLine="-432"/>
        <w:spacing w:before="144" w:after="0" w:line="268" w:lineRule="auto"/>
        <w:jc w:val="both"/>
        <w:tabs>
          <w:tab w:val="clear" w:pos="432"/>
          <w:tab w:val="decimal" w:pos="504"/>
        </w:tabs>
        <w:numPr>
          <w:ilvl w:val="0"/>
          <w:numId w:val="3"/>
        </w:numPr>
        <w:rPr>
          <w:color w:val="#000000"/>
          <w:sz w:val="25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Smluvní strana. která je povinným subjektem pro zve</w:t>
      </w:r>
      <w:r>
        <w:rPr>
          <w:color w:val="#000000"/>
          <w:sz w:val="25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řejňování v registru smluv, se tímto </w:t>
      </w:r>
      <w:r>
        <w:rPr>
          <w:color w:val="#000000"/>
          <w:sz w:val="25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zavazuje druhé smluvní straně k neprodlenému uveřejnění této smlouvy v registru smluv </w:t>
      </w: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 souladu s ustanovením § 5 zákona o registru smluv.</w:t>
      </w:r>
    </w:p>
    <w:p>
      <w:pPr>
        <w:ind w:right="0" w:left="0" w:firstLine="0"/>
        <w:spacing w:before="540" w:after="0" w:line="208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IIL</w:t>
      </w:r>
    </w:p>
    <w:p>
      <w:pPr>
        <w:ind w:right="0" w:left="0" w:firstLine="0"/>
        <w:spacing w:before="108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Záv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ěrečná ustanovení</w:t>
      </w:r>
    </w:p>
    <w:p>
      <w:pPr>
        <w:ind w:right="0" w:left="0" w:firstLine="0"/>
        <w:spacing w:before="144" w:after="0" w:line="240" w:lineRule="auto"/>
        <w:jc w:val="left"/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I. </w:t>
      </w:r>
      <w:r>
        <w:rPr>
          <w:color w:val="#000000"/>
          <w:sz w:val="25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Tato smlouva o vypo</w:t>
      </w:r>
      <w:r>
        <w:rPr>
          <w:color w:val="#000000"/>
          <w:sz w:val="25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řádání závazků nabývá účinnosti dnem uveřejnění v registru smluv.</w:t>
      </w:r>
    </w:p>
    <w:p>
      <w:pPr>
        <w:ind w:right="0" w:left="432" w:firstLine="-432"/>
        <w:spacing w:before="144" w:after="0" w:line="268" w:lineRule="auto"/>
        <w:jc w:val="left"/>
        <w:rPr>
          <w:color w:val="#000000"/>
          <w:sz w:val="25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2, Tato smlouva o vypo</w:t>
      </w:r>
      <w:r>
        <w:rPr>
          <w:color w:val="#000000"/>
          <w:sz w:val="25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řádání závazků je vyhotovena ve dvou stejnopisech, každý s hodnotou </w:t>
      </w: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originálu, přičemž každá ze smluvních stran obdrží jeden stejnopis.</w:t>
      </w:r>
    </w:p>
    <w:p>
      <w:pPr>
        <w:ind w:right="0" w:left="0" w:firstLine="0"/>
        <w:spacing w:before="468" w:after="828" w:line="240" w:lineRule="auto"/>
        <w:jc w:val="left"/>
        <w:rPr>
          <w:color w:val="#000000"/>
          <w:sz w:val="25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5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říloha č. I — objednávka ze dne 29.1.2024 a cenová nabídka 23NA00537 Junior 2070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93"/>
        <w:gridCol w:w="3095"/>
        <w:gridCol w:w="1484"/>
        <w:gridCol w:w="1184"/>
        <w:gridCol w:w="732"/>
        <w:gridCol w:w="1345"/>
        <w:gridCol w:w="867"/>
      </w:tblGrid>
      <w:tr>
        <w:trPr>
          <w:trHeight w:val="1774" w:hRule="exact"/>
        </w:trPr>
        <w:tc>
          <w:tcPr>
            <w:gridSpan w:val="2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488" w:type="auto"/>
            <w:textDirection w:val="lrTb"/>
            <w:vAlign w:val="top"/>
          </w:tcPr>
          <w:p>
            <w:pPr>
              <w:ind w:right="517" w:left="0" w:firstLine="0"/>
              <w:spacing w:before="0" w:after="0" w:line="201" w:lineRule="auto"/>
              <w:jc w:val="right"/>
              <w:rPr>
                <w:color w:val="#000000"/>
                <w:sz w:val="25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V</w:t>
            </w:r>
            <w:r>
              <w:rPr>
                <w:color w:val="#1F3452"/>
                <w:sz w:val="25"/>
                <w:lang w:val="cs-CZ"/>
                <w:spacing w:val="-15"/>
                <w:w w:val="100"/>
                <w:strike w:val="false"/>
                <w:vertAlign w:val="baseline"/>
                <w:rFonts w:ascii="Times New Roman" w:hAnsi="Times New Roman"/>
              </w:rPr>
              <w:t xml:space="preserve"> P</w:t>
            </w:r>
            <w:r>
              <w:rPr>
                <w:color w:val="#1F3452"/>
                <w:sz w:val="25"/>
                <w:lang w:val="cs-CZ"/>
                <w:spacing w:val="-15"/>
                <w:w w:val="100"/>
                <w:strike w:val="false"/>
                <w:vertAlign w:val="baseline"/>
                <w:rFonts w:ascii="Times New Roman" w:hAnsi="Times New Roman"/>
              </w:rPr>
              <w:t xml:space="preserve">ř4arA9i,</w:t>
            </w:r>
            <w:r>
              <w:rPr>
                <w:color w:val="#000000"/>
                <w:sz w:val="25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 dne 7</w:t>
            </w:r>
            <w:r>
              <w:rPr>
                <w:color w:val="#1F3452"/>
                <w:sz w:val="25"/>
                <w:lang w:val="cs-CZ"/>
                <w:spacing w:val="-15"/>
                <w:w w:val="100"/>
                <w:strike w:val="false"/>
                <w:vertAlign w:val="baseline"/>
                <w:rFonts w:ascii="Times New Roman" w:hAnsi="Times New Roman"/>
              </w:rPr>
              <w:t xml:space="preserve"> .ky4tna</w:t>
            </w:r>
            <w:r>
              <w:rPr>
                <w:color w:val="#000000"/>
                <w:sz w:val="25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 2024</w:t>
            </w:r>
          </w:p>
          <w:p>
            <w:pPr>
              <w:ind w:right="787" w:left="0" w:firstLine="0"/>
              <w:spacing w:before="0" w:after="0" w:line="218" w:lineRule="exact"/>
              <w:jc w:val="right"/>
              <w:rPr>
                <w:b w:val="true"/>
                <w:i w:val="true"/>
                <w:color w:val="#436E92"/>
                <w:sz w:val="30"/>
                <w:lang w:val="cs-CZ"/>
                <w:spacing w:val="-1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436E92"/>
                <w:sz w:val="30"/>
                <w:lang w:val="cs-CZ"/>
                <w:spacing w:val="-14"/>
                <w:w w:val="100"/>
                <w:strike w:val="false"/>
                <w:vertAlign w:val="baseline"/>
                <w:rFonts w:ascii="Times New Roman" w:hAnsi="Times New Roman"/>
              </w:rPr>
              <w:t xml:space="preserve">CE ECHNIK s.r.o.</w:t>
            </w:r>
          </w:p>
          <w:p>
            <w:pPr>
              <w:ind w:right="252" w:left="432" w:firstLine="504"/>
              <w:spacing w:before="0" w:after="0" w:line="240" w:lineRule="auto"/>
              <w:jc w:val="left"/>
              <w:rPr>
                <w:b w:val="true"/>
                <w:color w:val="#436E92"/>
                <w:sz w:val="13"/>
                <w:lang w:val="cs-CZ"/>
                <w:spacing w:val="3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436E92"/>
                <w:sz w:val="13"/>
                <w:lang w:val="cs-CZ"/>
                <w:spacing w:val="32"/>
                <w:w w:val="100"/>
                <w:strike w:val="false"/>
                <w:vertAlign w:val="baseline"/>
                <w:rFonts w:ascii="Times New Roman" w:hAnsi="Times New Roman"/>
              </w:rPr>
              <w:t xml:space="preserve">HOStfil</w:t>
            </w:r>
            <w:r>
              <w:rPr>
                <w:b w:val="true"/>
                <w:color w:val="#3C5D8B"/>
                <w:sz w:val="17"/>
                <w:lang w:val="cs-CZ"/>
                <w:spacing w:val="32"/>
                <w:w w:val="80"/>
                <w:strike w:val="false"/>
                <w:vertAlign w:val="baseline"/>
                <w:rFonts w:ascii="Times New Roman" w:hAnsi="Times New Roman"/>
              </w:rPr>
              <w:t xml:space="preserve"> u </w:t>
            </w:r>
            <w:r>
              <w:rPr>
                <w:b w:val="true"/>
                <w:color w:val="#3C5D8B"/>
                <w:sz w:val="15"/>
                <w:lang w:val="cs-CZ"/>
                <w:spacing w:val="32"/>
                <w:w w:val="100"/>
                <w:strike w:val="false"/>
                <w:vertAlign w:val="baseline"/>
                <w:rFonts w:ascii="Times New Roman" w:hAnsi="Times New Roman"/>
              </w:rPr>
              <w:t xml:space="preserve">Veitkovic 133 </w:t>
            </w:r>
            <w:r>
              <w:rPr>
                <w:b w:val="true"/>
                <w:color w:val="#3C5D8B"/>
                <w:sz w:val="1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277</w:t>
            </w:r>
            <w:r>
              <w:rPr>
                <w:b w:val="true"/>
                <w:color w:val="#436E92"/>
                <w:sz w:val="1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 44</w:t>
            </w:r>
            <w:r>
              <w:rPr>
                <w:b w:val="true"/>
                <w:color w:val="#3C5D8B"/>
                <w:sz w:val="1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 Voskovice u Kralup</w:t>
            </w:r>
            <w:r>
              <w:rPr>
                <w:b w:val="true"/>
                <w:color w:val="#436E92"/>
                <w:sz w:val="1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 nad Vtitirrou</w:t>
            </w:r>
          </w:p>
          <w:p>
            <w:pPr>
              <w:ind w:right="787" w:left="0" w:firstLine="0"/>
              <w:spacing w:before="0" w:after="0" w:line="240" w:lineRule="auto"/>
              <w:jc w:val="right"/>
              <w:rPr>
                <w:b w:val="true"/>
                <w:color w:val="#3C5D8B"/>
                <w:sz w:val="15"/>
                <w:lang w:val="cs-CZ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C5D8B"/>
                <w:sz w:val="15"/>
                <w:lang w:val="cs-CZ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;</w:t>
            </w:r>
            <w:r>
              <w:rPr>
                <w:b w:val="true"/>
                <w:color w:val="#3C5D8B"/>
                <w:sz w:val="15"/>
                <w:lang w:val="cs-CZ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Čp: 089 96 792 DIČ:</w:t>
            </w:r>
            <w:r>
              <w:rPr>
                <w:b w:val="true"/>
                <w:color w:val="#436E92"/>
                <w:sz w:val="15"/>
                <w:lang w:val="cs-CZ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 C208996792</w:t>
            </w:r>
          </w:p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C5D8B"/>
                <w:sz w:val="15"/>
                <w:lang w:val="cs-CZ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C5D8B"/>
                <w:sz w:val="15"/>
                <w:lang w:val="cs-CZ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Tal,;</w:t>
            </w:r>
            <w:r>
              <w:rPr>
                <w:b w:val="true"/>
                <w:color w:val="#436E92"/>
                <w:sz w:val="15"/>
                <w:lang w:val="cs-CZ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 "420 601</w:t>
            </w:r>
            <w:r>
              <w:rPr>
                <w:b w:val="true"/>
                <w:color w:val="#3C5D8B"/>
                <w:sz w:val="15"/>
                <w:lang w:val="cs-CZ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 253 250.2 ~ad: info</w:t>
              <w:br/>
            </w:r>
            <w:r>
              <w:rPr>
                <w:b w:val="true"/>
                <w:color w:val="#3C5D8B"/>
                <w:sz w:val="15"/>
                <w:lang w:val="cs-CZ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řOreetechnilic..ci
</w:t>
              <w:br/>
            </w:r>
            <w:r>
              <w:rPr>
                <w:b w:val="true"/>
                <w:color w:val="#436E92"/>
                <w:sz w:val="1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wv(w_ieetec</w:t>
            </w:r>
            <w:r>
              <w:rPr>
                <w:b w:val="true"/>
                <w:color w:val="#3C5D8B"/>
                <w:sz w:val="1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 hnik .cz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72" w:type="auto"/>
            <w:textDirection w:val="lrTb"/>
            <w:vAlign w:val="top"/>
          </w:tcPr>
          <w:p/>
        </w:tc>
        <w:tc>
          <w:tcPr>
            <w:gridSpan w:val="2"/>
            <w:tcBorders>
              <w:top w:val="dashed" w:sz="11" w:color="#000000"/>
              <w:bottom w:val="dashed" w:sz="11" w:color="#000000"/>
              <w:left w:val="none" w:sz="0" w:color="#000000"/>
              <w:right w:val="none" w:sz="0" w:color="#000000"/>
            </w:tcBorders>
            <w:tcW w:w="6888" w:type="auto"/>
            <w:textDirection w:val="lrTb"/>
            <w:vAlign w:val="top"/>
          </w:tcPr>
          <w:p>
            <w:pPr>
              <w:ind w:right="263" w:left="0" w:firstLine="0"/>
              <w:spacing w:before="576" w:after="0" w:line="271" w:lineRule="auto"/>
              <w:jc w:val="right"/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SPORTOVNÍ ZÁ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ŘÍ</w:t>
            </w:r>
          </w:p>
          <w:p>
            <w:pPr>
              <w:ind w:right="252" w:left="720" w:firstLine="360"/>
              <w:spacing w:before="0" w:after="0" w:line="240" w:lineRule="auto"/>
              <w:jc w:val="left"/>
              <w:tabs>
                <w:tab w:val="right" w:leader="none" w:pos="1487"/>
              </w:tabs>
              <w:rPr>
                <w:b w:val="true"/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pl'isp</w:t>
            </w:r>
            <w:r>
              <w:rPr>
                <w:b w:val="true"/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ěvk </w:t>
            </w:r>
            <w:r>
              <w:rPr>
                <w:color w:val="#000000"/>
                <w:sz w:val="15"/>
                <w:lang w:val="cs-CZ"/>
                <w:spacing w:val="-20"/>
                <w:w w:val="105"/>
                <w:strike w:val="false"/>
                <w:vertAlign w:val="superscript"/>
                <w:rFonts w:ascii="Times New Roman" w:hAnsi="Times New Roman"/>
              </w:rPr>
              <w:t xml:space="preserve">261</w:t>
            </w:r>
            <w:r>
              <w:rPr>
                <w:b w:val="true"/>
                <w:color w:val="#000000"/>
                <w:sz w:val="16"/>
                <w:lang w:val="cs-CZ"/>
                <w:spacing w:val="-20"/>
                <w:w w:val="100"/>
                <w:strike w:val="false"/>
                <w:vertAlign w:val="baseline"/>
                <w:rFonts w:ascii="Times New Roman" w:hAnsi="Times New Roman"/>
              </w:rPr>
              <w:tab/>
            </w:r>
            <w:r>
              <w:rPr>
                <w:b w:val="true"/>
                <w:color w:val="#000000"/>
                <w:sz w:val="16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Př'íbi</w:t>
            </w:r>
          </w:p>
          <w:p>
            <w:pPr>
              <w:ind w:right="443" w:left="0" w:firstLine="0"/>
              <w:spacing w:before="0" w:after="0" w:line="208" w:lineRule="auto"/>
              <w:jc w:val="right"/>
              <w:rPr>
                <w:b w:val="true"/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tel.: </w:t>
            </w: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318 626</w:t>
            </w:r>
          </w:p>
          <w:p>
            <w:pPr>
              <w:ind w:right="533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I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ČO: 7121</w:t>
            </w:r>
          </w:p>
        </w:tc>
        <w:tc>
          <w:tcPr>
            <w:gridSpan w:val="2"/>
            <w:tcBorders>
              <w:top w:val="dashed" w:sz="11" w:color="#000000"/>
              <w:bottom w:val="dashed" w:sz="11" w:color="#000000"/>
              <w:left w:val="none" w:sz="0" w:color="#000000"/>
              <w:right w:val="none" w:sz="0" w:color="#000000"/>
            </w:tcBorders>
            <w:tcW w:w="9100" w:type="auto"/>
            <w:textDirection w:val="lrTb"/>
            <w:vAlign w:val="top"/>
          </w:tcPr>
          <w:p>
            <w:pPr>
              <w:ind w:right="708" w:left="0" w:firstLine="0"/>
              <w:spacing w:before="648" w:after="0" w:line="240" w:lineRule="auto"/>
              <w:jc w:val="right"/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A P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ŘÍBRAM</w:t>
            </w:r>
          </w:p>
          <w:p>
            <w:pPr>
              <w:ind w:right="1518" w:left="0" w:firstLine="0"/>
              <w:spacing w:before="0" w:after="0" w:line="189" w:lineRule="auto"/>
              <w:jc w:val="right"/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.ace</w:t>
            </w:r>
          </w:p>
          <w:p>
            <w:pPr>
              <w:ind w:right="1158" w:left="0" w:firstLine="0"/>
              <w:spacing w:before="0" w:after="0" w:line="240" w:lineRule="auto"/>
              <w:jc w:val="right"/>
              <w:tabs>
                <w:tab w:val="right" w:leader="none" w:pos="1040"/>
              </w:tabs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ion	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378</w:t>
            </w:r>
          </w:p>
          <w:p>
            <w:pPr>
              <w:ind w:right="1068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: 318 623 815</w:t>
            </w:r>
          </w:p>
          <w:p>
            <w:pPr>
              <w:ind w:right="1158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C271217975</w:t>
            </w:r>
          </w:p>
        </w:tc>
      </w:tr>
      <w:tr>
        <w:trPr>
          <w:trHeight w:val="2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93" w:type="auto"/>
            <w:textDirection w:val="lrTb"/>
            <w:vAlign w:val="top"/>
          </w:tcPr>
          <w:p/>
        </w:tc>
        <w:tc>
          <w:tcPr>
            <w:gridSpan w:val="1"/>
            <w:tcBorders>
              <w:top w:val="dashed" w:sz="11" w:color="#000000"/>
              <w:bottom w:val="none" w:sz="0" w:color="#000000"/>
              <w:left w:val="none" w:sz="0" w:color="#000000"/>
              <w:right w:val="none" w:sz="0" w:color="#000000"/>
            </w:tcBorders>
            <w:tcW w:w="3488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72" w:type="auto"/>
            <w:textDirection w:val="lrTb"/>
            <w:vAlign w:val="top"/>
          </w:tcPr>
          <w:p/>
        </w:tc>
        <w:tc>
          <w:tcPr>
            <w:gridSpan w:val="1"/>
            <w:tcBorders>
              <w:top w:val="dashed" w:sz="11" w:color="#000000"/>
              <w:bottom w:val="none" w:sz="0" w:color="#000000"/>
              <w:left w:val="none" w:sz="0" w:color="#000000"/>
              <w:right w:val="none" w:sz="0" w:color="#000000"/>
            </w:tcBorders>
            <w:tcW w:w="6156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888" w:type="auto"/>
            <w:textDirection w:val="lrTb"/>
            <w:vAlign w:val="top"/>
          </w:tcPr>
          <w:p/>
        </w:tc>
        <w:tc>
          <w:tcPr>
            <w:gridSpan w:val="1"/>
            <w:tcBorders>
              <w:top w:val="dashed" w:sz="11" w:color="#000000"/>
              <w:bottom w:val="none" w:sz="0" w:color="#000000"/>
              <w:left w:val="none" w:sz="0" w:color="#000000"/>
              <w:right w:val="none" w:sz="0" w:color="#000000"/>
            </w:tcBorders>
            <w:tcW w:w="8233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100" w:type="auto"/>
            <w:textDirection w:val="lrTb"/>
            <w:vAlign w:val="top"/>
          </w:tcPr>
          <w:p/>
        </w:tc>
      </w:tr>
    </w:tbl>
    <w:p>
      <w:pPr>
        <w:spacing w:before="0" w:after="376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708"/>
        <w:gridCol w:w="2392"/>
      </w:tblGrid>
      <w:tr>
        <w:trPr>
          <w:trHeight w:val="187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6708" w:type="auto"/>
            <w:textDirection w:val="lrTb"/>
            <w:vAlign w:val="center"/>
            <w:vMerge w:val="restart"/>
          </w:tcPr>
          <w:p>
            <w:pPr>
              <w:ind w:right="4554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zhotovitel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100" w:type="auto"/>
            <w:textDirection w:val="lrTb"/>
            <w:vAlign w:val="center"/>
            <w:shd w:val="clear" w:color="#000000" w:fill="#000000"/>
          </w:tcPr>
          <w:p>
            <w:pPr>
              <w:ind w:right="1730" w:left="0" w:firstLine="0"/>
              <w:spacing w:before="0" w:after="0" w:line="240" w:lineRule="auto"/>
              <w:jc w:val="right"/>
              <w:rPr>
                <w:color w:val="#000000"/>
                <w:sz w:val="25"/>
                <w:shd w:val="solid" w:color="#FFFFFF" w:fill="#FFFFFF"/>
                <w:lang w:val="cs-CZ"/>
                <w:spacing w:val="-7"/>
                <w:w w:val="9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shd w:val="solid" w:color="#FFFFFF" w:fill="#FFFFFF"/>
                <w:lang w:val="cs-CZ"/>
                <w:spacing w:val="-7"/>
                <w:w w:val="95"/>
                <w:strike w:val="false"/>
                <w:vertAlign w:val="baseline"/>
                <w:rFonts w:ascii="Times New Roman" w:hAnsi="Times New Roman"/>
              </w:rPr>
              <w:t xml:space="preserve">ednatel</w:t>
            </w:r>
          </w:p>
        </w:tc>
      </w:tr>
      <w:tr>
        <w:trPr>
          <w:trHeight w:val="27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6708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100" w:type="auto"/>
            <w:textDirection w:val="lrTb"/>
            <w:vAlign w:val="top"/>
          </w:tcPr>
          <w:p/>
        </w:tc>
      </w:tr>
    </w:tbl>
    <w:p>
      <w:pPr>
        <w:spacing w:before="0" w:after="1312" w:line="20" w:lineRule="exact"/>
      </w:pPr>
    </w:p>
    <w:p>
      <w:pPr>
        <w:ind w:right="0" w:left="0" w:firstLine="360"/>
        <w:spacing w:before="0" w:after="0" w:line="240" w:lineRule="auto"/>
        <w:jc w:val="left"/>
        <w:tabs>
          <w:tab w:val="right" w:leader="none" w:pos="7503"/>
        </w:tabs>
        <w:rPr>
          <w:b w:val="true"/>
          <w:color w:val="#000000"/>
          <w:sz w:val="16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16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b w:val="true"/>
          <w:color w:val="#000000"/>
          <w:sz w:val="16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řípadě jakýchkoli změn smlouvy na veřejnou zakázku rnusi bit tyto změny v souladu s § 222 zákona Č. 13412016. </w:t>
      </w:r>
      <w:r>
        <w:rPr>
          <w:b w:val="true"/>
          <w:color w:val="#000000"/>
          <w:sz w:val="1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 </w:t>
      </w: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zadái,'úní vořciných </w:t>
      </w:r>
      <w:r>
        <w:rPr>
          <w:b w:val="true"/>
          <w:color w:val="#000000"/>
          <w:sz w:val="1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zakázek. </w:t>
      </w: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jinak </w:t>
      </w:r>
      <w:r>
        <w:rPr>
          <w:b w:val="true"/>
          <w:color w:val="#000000"/>
          <w:sz w:val="1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by mohl být postup </w:t>
      </w: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iadavatek po‘u2coéái</w:t>
      </w:r>
      <w:r>
        <w:rPr>
          <w:color w:val="#000000"/>
          <w:sz w:val="16"/>
          <w:lang w:val="cs-CZ"/>
          <w:spacing w:val="-4"/>
          <w:w w:val="105"/>
          <w:strike w:val="false"/>
          <w:vertAlign w:val="superscript"/>
          <w:rFonts w:ascii="Times New Roman" w:hAnsi="Times New Roman"/>
        </w:rPr>
        <w:t xml:space="preserve">-</w:t>
      </w: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ri </w:t>
      </w:r>
      <w:r>
        <w:rPr>
          <w:b w:val="true"/>
          <w:color w:val="#000000"/>
          <w:sz w:val="1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7,a </w:t>
      </w:r>
      <w:r>
        <w:rPr>
          <w:b w:val="true"/>
          <w:color w:val="#000000"/>
          <w:sz w:val="1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přestupek	</w:t>
      </w:r>
      <w:r>
        <w:rPr>
          <w:b w:val="true"/>
          <w:color w:val="#000000"/>
          <w:sz w:val="1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§ 268 tohoto zákona.</w:t>
      </w:r>
    </w:p>
    <w:sectPr>
      <w:pgSz w:w="11918" w:h="16854" w:orient="portrait"/>
      <w:type w:val="nextPage"/>
      <w:textDirection w:val="lrTb"/>
      <w:pgMar w:bottom="936" w:top="1774" w:right="1322" w:left="143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22"/>
        <w:lang w:val="cs-CZ"/>
        <w:spacing w:val="-4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3"/>
      <w:lvlJc w:val="left"/>
      <w:pPr>
        <w:ind w:left="720"/>
        <w:tabs>
          <w:tab w:val="decimal" w:pos="432"/>
        </w:tabs>
      </w:pPr>
      <w:rPr>
        <w:color w:val="#000000"/>
        <w:sz w:val="25"/>
        <w:lang w:val="cs-CZ"/>
        <w:spacing w:val="-5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