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792" w:left="0" w:firstLine="0"/>
        <w:spacing w:before="612" w:after="0" w:line="240" w:lineRule="auto"/>
        <w:jc w:val="left"/>
        <w:rPr>
          <w:b w:val="true"/>
          <w:color w:val="#000000"/>
          <w:sz w:val="28"/>
          <w:lang w:val="cs-CZ"/>
          <w:spacing w:val="-10"/>
          <w:w w:val="105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50pt;height:16.35pt;z-index:-1000;margin-left:74.55pt;margin-top: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6" w:lineRule="auto"/>
                    <w:jc w:val="left"/>
                    <w:framePr w:hAnchor="page" w:vAnchor="page" w:x="1491" w:y="1500" w:w="9000" w:h="327" w:hSpace="0" w:vSpace="0" w:wrap="tight"/>
                    <w:tabs>
                      <w:tab w:val="right" w:leader="none" w:pos="6801"/>
                    </w:tabs>
                    <w:rPr>
                      <w:b w:val="true"/>
                      <w:color w:val="#000000"/>
                      <w:sz w:val="2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Calibri" w:hAnsi="Calibri"/>
                    </w:rPr>
                  </w:pPr>
                  <w:r>
                    <w:rPr>
                      <w:b w:val="true"/>
                      <w:color w:val="#000000"/>
                      <w:sz w:val="2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Calibri" w:hAnsi="Calibri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Calibri" w:hAnsi="Calibri"/>
                    </w:rPr>
                    <w:t xml:space="preserve">říloha 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Calibri" w:hAnsi="Calibri"/>
                    </w:rPr>
                    <w:t xml:space="preserve">č.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-10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2</w:t>
                  </w:r>
                  <w:r>
                    <w:rPr>
                      <w:color w:val="#000000"/>
                      <w:sz w:val="24"/>
                      <w:lang w:val="cs-CZ"/>
                      <w:spacing w:val="-10"/>
                      <w:w w:val="105"/>
                      <w:strike w:val="false"/>
                      <w:vertAlign w:val="baseline"/>
                      <w:rFonts w:ascii="Calibri" w:hAnsi="Calibri"/>
                    </w:rPr>
                    <w:tab/>
                  </w:r>
                  <w:r>
                    <w:rPr>
                      <w:color w:val="#000000"/>
                      <w:sz w:val="24"/>
                      <w:lang w:val="cs-CZ"/>
                      <w:spacing w:val="-5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Požadavek na stavební p</w:t>
                  </w:r>
                  <w:r>
                    <w:rPr>
                      <w:color w:val="#000000"/>
                      <w:sz w:val="24"/>
                      <w:lang w:val="cs-CZ"/>
                      <w:spacing w:val="-5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řipravenost pro montáž výtah</w:t>
                  </w:r>
                  <w:r>
                    <w:rPr>
                      <w:color w:val="#000000"/>
                      <w:sz w:val="24"/>
                      <w:lang w:val="cs-CZ"/>
                      <w:spacing w:val="-5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ů</w:t>
                  </w:r>
                  <w:r>
                    <w:rPr>
                      <w:color w:val="#000000"/>
                      <w:sz w:val="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Calibri" w:hAnsi="Calibri"/>
                    </w:rPr>
                  </w:r>
                </w:p>
              </w:txbxContent>
            </v:textbox>
          </v:shape>
        </w:pict>
      </w:r>
      <w:r>
        <w:rPr>
          <w:b w:val="true"/>
          <w:color w:val="#000000"/>
          <w:sz w:val="28"/>
          <w:lang w:val="cs-CZ"/>
          <w:spacing w:val="-10"/>
          <w:w w:val="105"/>
          <w:strike w:val="false"/>
          <w:vertAlign w:val="baseline"/>
          <w:rFonts w:ascii="Times New Roman" w:hAnsi="Times New Roman"/>
        </w:rPr>
        <w:t xml:space="preserve">Stavební p</w:t>
      </w:r>
      <w:r>
        <w:rPr>
          <w:b w:val="true"/>
          <w:color w:val="#000000"/>
          <w:sz w:val="28"/>
          <w:lang w:val="cs-CZ"/>
          <w:spacing w:val="-10"/>
          <w:w w:val="105"/>
          <w:strike w:val="false"/>
          <w:vertAlign w:val="baseline"/>
          <w:rFonts w:ascii="Times New Roman" w:hAnsi="Times New Roman"/>
        </w:rPr>
        <w:t xml:space="preserve">řipravenost pro montáž výtahu</w:t>
      </w:r>
      <w:r>
        <w:rPr>
          <w:b w:val="true"/>
          <w:color w:val="#000000"/>
          <w:sz w:val="28"/>
          <w:lang w:val="cs-CZ"/>
          <w:spacing w:val="-10"/>
          <w:w w:val="105"/>
          <w:strike w:val="false"/>
          <w:vertAlign w:val="baseline"/>
          <w:rFonts w:ascii="Times New Roman" w:hAnsi="Times New Roman"/>
        </w:rPr>
        <w:t xml:space="preserve"> pro projekt </w:t>
      </w:r>
      <w:r>
        <w:rPr>
          <w:b w:val="true"/>
          <w:color w:val="#000000"/>
          <w:sz w:val="28"/>
          <w:lang w:val="cs-CZ"/>
          <w:spacing w:val="-10"/>
          <w:w w:val="105"/>
          <w:strike w:val="false"/>
          <w:vertAlign w:val="baseline"/>
          <w:rFonts w:ascii="Times New Roman" w:hAnsi="Times New Roman"/>
        </w:rPr>
        <w:t xml:space="preserve">Zimní stadion </w:t>
      </w:r>
      <w:r>
        <w:rPr>
          <w:b w:val="true"/>
          <w:color w:val="#000000"/>
          <w:sz w:val="28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Příbram</w:t>
      </w:r>
      <w:r>
        <w:rPr>
          <w:b w:val="true"/>
          <w:color w:val="#000000"/>
          <w:sz w:val="28"/>
          <w:lang w:val="cs-CZ"/>
          <w:spacing w:val="0"/>
          <w:w w:val="105"/>
          <w:strike w:val="false"/>
          <w:vertAlign w:val="baseline"/>
          <w:rFonts w:ascii="Times New Roman" w:hAnsi="Times New Roman"/>
        </w:rPr>
      </w:r>
    </w:p>
    <w:p>
      <w:pPr>
        <w:ind w:right="0" w:left="360" w:firstLine="0"/>
        <w:spacing w:before="252" w:after="0" w:line="240" w:lineRule="auto"/>
        <w:jc w:val="left"/>
        <w:rPr>
          <w:color w:val="#000000"/>
          <w:sz w:val="24"/>
          <w:lang w:val="cs-CZ"/>
          <w:spacing w:val="0"/>
          <w:w w:val="11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10"/>
          <w:strike w:val="false"/>
          <w:vertAlign w:val="baseline"/>
          <w:rFonts w:ascii="Times New Roman" w:hAnsi="Times New Roman"/>
        </w:rPr>
        <w:t xml:space="preserve">1)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 Nový výtah</w:t>
      </w:r>
      <w:r>
        <w:rPr>
          <w:color w:val="#000000"/>
          <w:sz w:val="24"/>
          <w:lang w:val="cs-CZ"/>
          <w:spacing w:val="0"/>
          <w:w w:val="110"/>
          <w:strike w:val="false"/>
          <w:vertAlign w:val="baseline"/>
          <w:rFonts w:ascii="Times New Roman" w:hAnsi="Times New Roman"/>
        </w:rPr>
      </w:r>
    </w:p>
    <w:p>
      <w:pPr>
        <w:ind w:right="72" w:left="1512" w:firstLine="-360"/>
        <w:spacing w:before="0" w:after="0" w:line="240" w:lineRule="auto"/>
        <w:jc w:val="left"/>
        <w:tabs>
          <w:tab w:val="clear" w:pos="360"/>
          <w:tab w:val="decimal" w:pos="1512"/>
        </w:tabs>
        <w:numPr>
          <w:ilvl w:val="0"/>
          <w:numId w:val="2"/>
        </w:numP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Stavebn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ě dokončená zevnitř výtahová šachta dle dispozice výtahu, omítnutá –</w:t>
      </w:r>
      <w:r>
        <w:rPr>
          <w:color w:val="#000000"/>
          <w:sz w:val="24"/>
          <w:lang w:val="cs-CZ"/>
          <w:spacing w:val="-7"/>
          <w:w w:val="11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  <w:t xml:space="preserve">řeší Zhotovitel</w:t>
      </w:r>
      <w:r>
        <w:rPr>
          <w:color w:val="#000000"/>
          <w:sz w:val="24"/>
          <w:lang w:val="cs-CZ"/>
          <w:spacing w:val="-6"/>
          <w:w w:val="110"/>
          <w:strike w:val="false"/>
          <w:vertAlign w:val="baseline"/>
          <w:rFonts w:ascii="Times New Roman" w:hAnsi="Times New Roman"/>
        </w:rPr>
      </w:r>
    </w:p>
    <w:p>
      <w:pPr>
        <w:ind w:right="72" w:left="1512" w:firstLine="-360"/>
        <w:spacing w:before="0" w:after="0" w:line="240" w:lineRule="auto"/>
        <w:jc w:val="left"/>
        <w:tabs>
          <w:tab w:val="clear" w:pos="360"/>
          <w:tab w:val="decimal" w:pos="1512"/>
        </w:tabs>
        <w:numPr>
          <w:ilvl w:val="0"/>
          <w:numId w:val="2"/>
        </w:numP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Funk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ční přívod napájení výtahu (tento přívod musí být pod napětím v době zahájení montáže výtahu, přívod musí </w:t>
      </w:r>
      <w:r>
        <w:rPr>
          <w:color w:val="#000000"/>
          <w:sz w:val="24"/>
          <w:lang w:val="cs-CZ"/>
          <w:spacing w:val="-7"/>
          <w:w w:val="110"/>
          <w:strike w:val="false"/>
          <w:vertAlign w:val="baseline"/>
          <w:rFonts w:ascii="Times New Roman" w:hAnsi="Times New Roman"/>
        </w:rPr>
        <w:t xml:space="preserve">m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ít dostatečný příkon pro výtah a musí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Times New Roman" w:hAnsi="Times New Roman"/>
        </w:rPr>
        <w:t xml:space="preserve">být přiveden do prostoru rozvaděče výtahu – dolní</w:t>
      </w:r>
      <w:r>
        <w:rPr>
          <w:color w:val="#000000"/>
          <w:sz w:val="24"/>
          <w:lang w:val="cs-CZ"/>
          <w:spacing w:val="-5"/>
          <w:w w:val="110"/>
          <w:strike w:val="false"/>
          <w:vertAlign w:val="baseline"/>
          <w:rFonts w:ascii="Times New Roman" w:hAnsi="Times New Roman"/>
        </w:rPr>
        <w:t xml:space="preserve"> stanice)</w:t>
      </w:r>
    </w:p>
    <w:p>
      <w:pPr>
        <w:ind w:right="0" w:left="1512" w:firstLine="-360"/>
        <w:spacing w:before="0" w:after="72" w:line="206" w:lineRule="auto"/>
        <w:jc w:val="left"/>
        <w:tabs>
          <w:tab w:val="clear" w:pos="360"/>
          <w:tab w:val="decimal" w:pos="1512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Postavené lešení ve výtahové šacht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ě dle dispozic dodavatele výtahu</w:t>
      </w:r>
      <w:r>
        <w:rPr>
          <w:color w:val="#000000"/>
          <w:sz w:val="24"/>
          <w:lang w:val="cs-CZ"/>
          <w:spacing w:val="0"/>
          <w:w w:val="11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cs-CZ"/>
          <w:spacing w:val="0"/>
          <w:w w:val="110"/>
          <w:strike w:val="false"/>
          <w:vertAlign w:val="baseline"/>
          <w:rFonts w:ascii="Times New Roman" w:hAnsi="Times New Roman"/>
        </w:rPr>
        <w:t xml:space="preserve">řeší</w:t>
      </w:r>
    </w:p>
    <w:p>
      <w:pPr>
        <w:ind w:right="6562" w:left="1430" w:firstLine="0"/>
        <w:spacing w:before="0" w:after="36" w:line="204" w:lineRule="auto"/>
        <w:jc w:val="left"/>
        <w:shd w:val="solid" w:color="#FFFF00" w:fill="#FFFF00"/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Zhotovitel</w:t>
      </w:r>
    </w:p>
    <w:p>
      <w:pPr>
        <w:ind w:right="144" w:left="1512" w:firstLine="-360"/>
        <w:spacing w:before="0" w:after="0" w:line="240" w:lineRule="auto"/>
        <w:jc w:val="left"/>
        <w:tabs>
          <w:tab w:val="clear" w:pos="360"/>
          <w:tab w:val="decimal" w:pos="1512"/>
        </w:tabs>
        <w:numPr>
          <w:ilvl w:val="0"/>
          <w:numId w:val="3"/>
        </w:numP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Stavební za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čištění osazených šachetních dveří výtahu a podbetonování jejich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prahu dle pokynů zhotovitele výtahů – řeší Zhotovitel</w:t>
      </w:r>
      <w:r>
        <w:rPr>
          <w:color w:val="#000000"/>
          <w:sz w:val="24"/>
          <w:lang w:val="cs-CZ"/>
          <w:spacing w:val="-4"/>
          <w:w w:val="110"/>
          <w:strike w:val="false"/>
          <w:vertAlign w:val="baseline"/>
          <w:rFonts w:ascii="Times New Roman" w:hAnsi="Times New Roman"/>
        </w:rPr>
      </w:r>
    </w:p>
    <w:p>
      <w:pPr>
        <w:ind w:right="0" w:left="1512" w:firstLine="-360"/>
        <w:spacing w:before="0" w:after="0" w:line="240" w:lineRule="auto"/>
        <w:jc w:val="left"/>
        <w:tabs>
          <w:tab w:val="clear" w:pos="360"/>
          <w:tab w:val="decimal" w:pos="1512"/>
        </w:tabs>
        <w:numPr>
          <w:ilvl w:val="0"/>
          <w:numId w:val="3"/>
        </w:numP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řívod telefonní linky pro hlasový výstup strojovny výtahu</w:t>
      </w:r>
      <w:r>
        <w:rPr>
          <w:color w:val="#000000"/>
          <w:sz w:val="24"/>
          <w:lang w:val="cs-CZ"/>
          <w:spacing w:val="-4"/>
          <w:w w:val="110"/>
          <w:strike w:val="false"/>
          <w:vertAlign w:val="baseline"/>
          <w:rFonts w:ascii="Times New Roman" w:hAnsi="Times New Roman"/>
        </w:rPr>
        <w:t xml:space="preserve">-je-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li požadováno</w:t>
      </w:r>
      <w:r>
        <w:rPr>
          <w:color w:val="#000000"/>
          <w:sz w:val="24"/>
          <w:lang w:val="cs-CZ"/>
          <w:spacing w:val="-4"/>
          <w:w w:val="110"/>
          <w:strike w:val="false"/>
          <w:vertAlign w:val="baseline"/>
          <w:rFonts w:ascii="Times New Roman" w:hAnsi="Times New Roman"/>
        </w:rPr>
      </w:r>
    </w:p>
    <w:p>
      <w:pPr>
        <w:ind w:right="0" w:left="1512" w:firstLine="-360"/>
        <w:spacing w:before="0" w:after="0" w:line="240" w:lineRule="auto"/>
        <w:jc w:val="left"/>
        <w:tabs>
          <w:tab w:val="clear" w:pos="360"/>
          <w:tab w:val="decimal" w:pos="1512"/>
        </w:tabs>
        <w:numPr>
          <w:ilvl w:val="0"/>
          <w:numId w:val="3"/>
        </w:numP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Times New Roman" w:hAnsi="Times New Roman"/>
        </w:rPr>
        <w:t xml:space="preserve">Poskytnutí uzamykatelné místnosti –skladu materiálu pro montáž výtahu</w:t>
      </w:r>
      <w:r>
        <w:rPr>
          <w:color w:val="#000000"/>
          <w:sz w:val="24"/>
          <w:lang w:val="cs-CZ"/>
          <w:spacing w:val="-1"/>
          <w:w w:val="110"/>
          <w:strike w:val="false"/>
          <w:vertAlign w:val="baseline"/>
          <w:rFonts w:ascii="Times New Roman" w:hAnsi="Times New Roman"/>
        </w:rPr>
        <w:t xml:space="preserve">.</w:t>
      </w:r>
    </w:p>
    <w:sectPr>
      <w:pgSz w:w="11918" w:h="16854" w:orient="portrait"/>
      <w:type w:val="nextPage"/>
      <w:textDirection w:val="lrTb"/>
      <w:pgMar w:bottom="9808" w:top="1827" w:right="1367" w:left="149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lowerLetter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7"/>
        <w:w w:val="105"/>
        <w:strike w:val="false"/>
        <w:vertAlign w:val="baseline"/>
        <w:rFonts w:ascii="Times New Roman" w:hAnsi="Times New Roman"/>
      </w:rPr>
    </w:lvl>
  </w:abstractNum>
  <w:abstractNum w:abstractNumId="2">
    <w:lvl w:ilvl="0">
      <w:numFmt w:val="lowerLetter"/>
      <w:lvlText w:val="%1."/>
      <w:start w:val="4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8"/>
        <w:w w:val="105"/>
        <w:strike w:val="false"/>
        <w:vertAlign w:val="baseline"/>
        <w:rFonts w:ascii="Times New Roman" w:hAnsi="Times New Roman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