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792" w:left="0" w:firstLine="0"/>
        <w:spacing w:before="612" w:after="0" w:line="240" w:lineRule="auto"/>
        <w:jc w:val="left"/>
        <w:rPr>
          <w:b w:val="true"/>
          <w:color w:val="#000000"/>
          <w:sz w:val="28"/>
          <w:lang w:val="cs-CZ"/>
          <w:spacing w:val="-10"/>
          <w:w w:val="105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0pt;height:16.35pt;z-index:-1000;margin-left:74.55pt;margin-top: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6" w:lineRule="auto"/>
                    <w:jc w:val="left"/>
                    <w:framePr w:hAnchor="page" w:vAnchor="page" w:x="1491" w:y="1500" w:w="9000" w:h="327" w:hSpace="0" w:vSpace="0" w:wrap="tight"/>
                    <w:tabs>
                      <w:tab w:val="right" w:leader="none" w:pos="6801"/>
                    </w:tabs>
                    <w:rPr>
                      <w:b w:val="true"/>
                      <w:color w:val="#000000"/>
                      <w:sz w:val="24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Calibri" w:hAnsi="Calibri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Calibri" w:hAnsi="Calibri"/>
                    </w:rPr>
                    <w:t xml:space="preserve">P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Calibri" w:hAnsi="Calibri"/>
                    </w:rPr>
                    <w:t xml:space="preserve">říloha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Calibri" w:hAnsi="Calibri"/>
                    </w:rPr>
                    <w:t xml:space="preserve">č.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10"/>
                      <w:w w:val="105"/>
                      <w:strike w:val="false"/>
                      <w:vertAlign w:val="baseline"/>
                      <w:rFonts w:ascii="Calibri" w:hAnsi="Calibri"/>
                    </w:rPr>
                    <w:t xml:space="preserve">2</w:t>
                  </w:r>
                  <w:r>
                    <w:rPr>
                      <w:color w:val="#000000"/>
                      <w:sz w:val="24"/>
                      <w:lang w:val="cs-CZ"/>
                      <w:spacing w:val="-10"/>
                      <w:w w:val="105"/>
                      <w:strike w:val="false"/>
                      <w:vertAlign w:val="baseline"/>
                      <w:rFonts w:ascii="Calibri" w:hAnsi="Calibri"/>
                    </w:rPr>
                    <w:tab/>
                  </w:r>
                  <w:r>
                    <w:rPr>
                      <w:color w:val="#000000"/>
                      <w:sz w:val="24"/>
                      <w:lang w:val="cs-CZ"/>
                      <w:spacing w:val="-5"/>
                      <w:w w:val="105"/>
                      <w:strike w:val="false"/>
                      <w:vertAlign w:val="baseline"/>
                      <w:rFonts w:ascii="Calibri" w:hAnsi="Calibri"/>
                    </w:rPr>
                    <w:t xml:space="preserve">Požadavek na stavební p</w:t>
                  </w:r>
                  <w:r>
                    <w:rPr>
                      <w:color w:val="#000000"/>
                      <w:sz w:val="24"/>
                      <w:lang w:val="cs-CZ"/>
                      <w:spacing w:val="-5"/>
                      <w:w w:val="105"/>
                      <w:strike w:val="false"/>
                      <w:vertAlign w:val="baseline"/>
                      <w:rFonts w:ascii="Calibri" w:hAnsi="Calibri"/>
                    </w:rPr>
                    <w:t xml:space="preserve">řipravenost pro montáž výtah</w:t>
                  </w:r>
                  <w:r>
                    <w:rPr>
                      <w:color w:val="#000000"/>
                      <w:sz w:val="24"/>
                      <w:lang w:val="cs-CZ"/>
                      <w:spacing w:val="-5"/>
                      <w:w w:val="105"/>
                      <w:strike w:val="false"/>
                      <w:vertAlign w:val="baseline"/>
                      <w:rFonts w:ascii="Calibri" w:hAnsi="Calibri"/>
                    </w:rPr>
                    <w:t xml:space="preserve">ů</w:t>
                  </w:r>
                  <w:r>
                    <w:rPr>
                      <w:color w:val="#000000"/>
                      <w:sz w:val="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Calibri" w:hAnsi="Calibri"/>
                    </w:rPr>
                  </w:r>
                </w:p>
              </w:txbxContent>
            </v:textbox>
          </v:shape>
        </w:pict>
      </w:r>
      <w:r>
        <w:rPr>
          <w:b w:val="true"/>
          <w:color w:val="#000000"/>
          <w:sz w:val="28"/>
          <w:lang w:val="cs-CZ"/>
          <w:spacing w:val="-10"/>
          <w:w w:val="105"/>
          <w:strike w:val="false"/>
          <w:vertAlign w:val="baseline"/>
          <w:rFonts w:ascii="Times New Roman" w:hAnsi="Times New Roman"/>
        </w:rPr>
        <w:t xml:space="preserve">Stavební p</w:t>
      </w:r>
      <w:r>
        <w:rPr>
          <w:b w:val="true"/>
          <w:color w:val="#000000"/>
          <w:sz w:val="28"/>
          <w:lang w:val="cs-CZ"/>
          <w:spacing w:val="-10"/>
          <w:w w:val="105"/>
          <w:strike w:val="false"/>
          <w:vertAlign w:val="baseline"/>
          <w:rFonts w:ascii="Times New Roman" w:hAnsi="Times New Roman"/>
        </w:rPr>
        <w:t xml:space="preserve">řipravenost pro montáž výtahu</w:t>
      </w:r>
      <w:r>
        <w:rPr>
          <w:b w:val="true"/>
          <w:color w:val="#000000"/>
          <w:sz w:val="28"/>
          <w:lang w:val="cs-CZ"/>
          <w:spacing w:val="-10"/>
          <w:w w:val="105"/>
          <w:strike w:val="false"/>
          <w:vertAlign w:val="baseline"/>
          <w:rFonts w:ascii="Times New Roman" w:hAnsi="Times New Roman"/>
        </w:rPr>
        <w:t xml:space="preserve"> pro projekt </w:t>
      </w:r>
      <w:r>
        <w:rPr>
          <w:b w:val="true"/>
          <w:color w:val="#000000"/>
          <w:sz w:val="28"/>
          <w:lang w:val="cs-CZ"/>
          <w:spacing w:val="-10"/>
          <w:w w:val="105"/>
          <w:strike w:val="false"/>
          <w:vertAlign w:val="baseline"/>
          <w:rFonts w:ascii="Times New Roman" w:hAnsi="Times New Roman"/>
        </w:rPr>
        <w:t xml:space="preserve">Zimní stadion </w:t>
      </w:r>
      <w:r>
        <w:rPr>
          <w:b w:val="true"/>
          <w:color w:val="#000000"/>
          <w:sz w:val="28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Příbram</w:t>
      </w:r>
      <w:r>
        <w:rPr>
          <w:b w:val="true"/>
          <w:color w:val="#000000"/>
          <w:sz w:val="28"/>
          <w:lang w:val="cs-CZ"/>
          <w:spacing w:val="0"/>
          <w:w w:val="105"/>
          <w:strike w:val="false"/>
          <w:vertAlign w:val="baseline"/>
          <w:rFonts w:ascii="Times New Roman" w:hAnsi="Times New Roman"/>
        </w:rPr>
      </w:r>
    </w:p>
    <w:p>
      <w:pPr>
        <w:ind w:right="0" w:left="360" w:firstLine="0"/>
        <w:spacing w:before="252" w:after="0" w:line="240" w:lineRule="auto"/>
        <w:jc w:val="left"/>
        <w:rPr>
          <w:color w:val="#000000"/>
          <w:sz w:val="24"/>
          <w:lang w:val="cs-CZ"/>
          <w:spacing w:val="0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10"/>
          <w:strike w:val="false"/>
          <w:vertAlign w:val="baseline"/>
          <w:rFonts w:ascii="Times New Roman" w:hAnsi="Times New Roman"/>
        </w:rPr>
        <w:t xml:space="preserve">1)</w:t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Nový výtah</w:t>
      </w:r>
      <w:r>
        <w:rPr>
          <w:color w:val="#000000"/>
          <w:sz w:val="24"/>
          <w:lang w:val="cs-CZ"/>
          <w:spacing w:val="0"/>
          <w:w w:val="110"/>
          <w:strike w:val="false"/>
          <w:vertAlign w:val="baseline"/>
          <w:rFonts w:ascii="Times New Roman" w:hAnsi="Times New Roman"/>
        </w:rPr>
      </w:r>
    </w:p>
    <w:p>
      <w:pPr>
        <w:ind w:right="72" w:left="1512" w:firstLine="-360"/>
        <w:spacing w:before="0" w:after="0" w:line="240" w:lineRule="auto"/>
        <w:jc w:val="left"/>
        <w:tabs>
          <w:tab w:val="clear" w:pos="360"/>
          <w:tab w:val="decimal" w:pos="1512"/>
        </w:tabs>
        <w:numPr>
          <w:ilvl w:val="0"/>
          <w:numId w:val="2"/>
        </w:numP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Stavebn</w:t>
      </w: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ě dokončená zevnitř výtahová šachta dle dispozice výtahu, omítnutá –</w:t>
      </w:r>
      <w:r>
        <w:rPr>
          <w:color w:val="#000000"/>
          <w:sz w:val="24"/>
          <w:lang w:val="cs-CZ"/>
          <w:spacing w:val="-7"/>
          <w:w w:val="11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řeší Zhotovitel</w:t>
      </w:r>
      <w:r>
        <w:rPr>
          <w:color w:val="#000000"/>
          <w:sz w:val="24"/>
          <w:lang w:val="cs-CZ"/>
          <w:spacing w:val="-6"/>
          <w:w w:val="110"/>
          <w:strike w:val="false"/>
          <w:vertAlign w:val="baseline"/>
          <w:rFonts w:ascii="Times New Roman" w:hAnsi="Times New Roman"/>
        </w:rPr>
      </w:r>
    </w:p>
    <w:p>
      <w:pPr>
        <w:ind w:right="72" w:left="1512" w:firstLine="-360"/>
        <w:spacing w:before="0" w:after="0" w:line="240" w:lineRule="auto"/>
        <w:jc w:val="left"/>
        <w:tabs>
          <w:tab w:val="clear" w:pos="360"/>
          <w:tab w:val="decimal" w:pos="1512"/>
        </w:tabs>
        <w:numPr>
          <w:ilvl w:val="0"/>
          <w:numId w:val="2"/>
        </w:numP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Funk</w:t>
      </w: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ční přívod napájení výtahu (tento přívod musí být pod napětím v době zahájení montáže výtahu, přívod musí </w:t>
      </w:r>
      <w:r>
        <w:rPr>
          <w:color w:val="#000000"/>
          <w:sz w:val="24"/>
          <w:lang w:val="cs-CZ"/>
          <w:spacing w:val="-7"/>
          <w:w w:val="110"/>
          <w:strike w:val="false"/>
          <w:vertAlign w:val="baseline"/>
          <w:rFonts w:ascii="Times New Roman" w:hAnsi="Times New Roman"/>
        </w:rPr>
        <w:t xml:space="preserve">m</w:t>
      </w: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ít dostatečný příkon pro výtah a musí 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být přiveden do prostoru rozvaděče výtahu – dolní</w:t>
      </w:r>
      <w:r>
        <w:rPr>
          <w:color w:val="#000000"/>
          <w:sz w:val="24"/>
          <w:lang w:val="cs-CZ"/>
          <w:spacing w:val="-5"/>
          <w:w w:val="110"/>
          <w:strike w:val="false"/>
          <w:vertAlign w:val="baseline"/>
          <w:rFonts w:ascii="Times New Roman" w:hAnsi="Times New Roman"/>
        </w:rPr>
        <w:t xml:space="preserve"> stanice)</w:t>
      </w:r>
    </w:p>
    <w:p>
      <w:pPr>
        <w:ind w:right="0" w:left="1512" w:firstLine="-360"/>
        <w:spacing w:before="0" w:after="72" w:line="206" w:lineRule="auto"/>
        <w:jc w:val="left"/>
        <w:tabs>
          <w:tab w:val="clear" w:pos="360"/>
          <w:tab w:val="decimal" w:pos="1512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Postavené lešení ve výtahové šacht</w:t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ě dle dispozic dodavatele výtahu</w:t>
      </w:r>
      <w:r>
        <w:rPr>
          <w:color w:val="#000000"/>
          <w:sz w:val="24"/>
          <w:lang w:val="cs-CZ"/>
          <w:spacing w:val="0"/>
          <w:w w:val="11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4"/>
          <w:lang w:val="cs-CZ"/>
          <w:spacing w:val="0"/>
          <w:w w:val="110"/>
          <w:strike w:val="false"/>
          <w:vertAlign w:val="baseline"/>
          <w:rFonts w:ascii="Times New Roman" w:hAnsi="Times New Roman"/>
        </w:rPr>
        <w:t xml:space="preserve">řeší</w:t>
      </w:r>
    </w:p>
    <w:p>
      <w:pPr>
        <w:ind w:right="6562" w:left="1430" w:firstLine="0"/>
        <w:spacing w:before="0" w:after="36" w:line="204" w:lineRule="auto"/>
        <w:jc w:val="left"/>
        <w:shd w:val="solid" w:color="#FFFF00" w:fill="#FFFF00"/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Zhotovitel</w:t>
      </w:r>
    </w:p>
    <w:p>
      <w:pPr>
        <w:ind w:right="144" w:left="1512" w:firstLine="-360"/>
        <w:spacing w:before="0" w:after="0" w:line="240" w:lineRule="auto"/>
        <w:jc w:val="left"/>
        <w:tabs>
          <w:tab w:val="clear" w:pos="360"/>
          <w:tab w:val="decimal" w:pos="1512"/>
        </w:tabs>
        <w:numPr>
          <w:ilvl w:val="0"/>
          <w:numId w:val="3"/>
        </w:numP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Stavební za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čištění osazených šachetních dveří výtahu a podbetonování jejich </w:t>
      </w: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prahu dle pokynů zhotovitele výtahů – řeší Zhotovitel</w:t>
      </w:r>
      <w:r>
        <w:rPr>
          <w:color w:val="#000000"/>
          <w:sz w:val="24"/>
          <w:lang w:val="cs-CZ"/>
          <w:spacing w:val="-4"/>
          <w:w w:val="110"/>
          <w:strike w:val="false"/>
          <w:vertAlign w:val="baseline"/>
          <w:rFonts w:ascii="Times New Roman" w:hAnsi="Times New Roman"/>
        </w:rPr>
      </w:r>
    </w:p>
    <w:p>
      <w:pPr>
        <w:ind w:right="0" w:left="1512" w:firstLine="-360"/>
        <w:spacing w:before="0" w:after="0" w:line="240" w:lineRule="auto"/>
        <w:jc w:val="left"/>
        <w:tabs>
          <w:tab w:val="clear" w:pos="360"/>
          <w:tab w:val="decimal" w:pos="1512"/>
        </w:tabs>
        <w:numPr>
          <w:ilvl w:val="0"/>
          <w:numId w:val="3"/>
        </w:numP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řívod telefonní linky pro hlasový výstup strojovny výtahu</w:t>
      </w:r>
      <w:r>
        <w:rPr>
          <w:color w:val="#000000"/>
          <w:sz w:val="24"/>
          <w:lang w:val="cs-CZ"/>
          <w:spacing w:val="-4"/>
          <w:w w:val="110"/>
          <w:strike w:val="false"/>
          <w:vertAlign w:val="baseline"/>
          <w:rFonts w:ascii="Times New Roman" w:hAnsi="Times New Roman"/>
        </w:rPr>
        <w:t xml:space="preserve">-je-</w:t>
      </w: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li požadováno</w:t>
      </w:r>
      <w:r>
        <w:rPr>
          <w:color w:val="#000000"/>
          <w:sz w:val="24"/>
          <w:lang w:val="cs-CZ"/>
          <w:spacing w:val="-4"/>
          <w:w w:val="110"/>
          <w:strike w:val="false"/>
          <w:vertAlign w:val="baseline"/>
          <w:rFonts w:ascii="Times New Roman" w:hAnsi="Times New Roman"/>
        </w:rPr>
      </w:r>
    </w:p>
    <w:p>
      <w:pPr>
        <w:ind w:right="0" w:left="1512" w:firstLine="-360"/>
        <w:spacing w:before="0" w:after="0" w:line="240" w:lineRule="auto"/>
        <w:jc w:val="left"/>
        <w:tabs>
          <w:tab w:val="clear" w:pos="360"/>
          <w:tab w:val="decimal" w:pos="1512"/>
        </w:tabs>
        <w:numPr>
          <w:ilvl w:val="0"/>
          <w:numId w:val="3"/>
        </w:numPr>
        <w:rPr>
          <w:color w:val="#000000"/>
          <w:sz w:val="24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Poskytnutí uzamykatelné místnosti –skladu materiálu pro montáž výtahu</w:t>
      </w:r>
      <w:r>
        <w:rPr>
          <w:color w:val="#000000"/>
          <w:sz w:val="24"/>
          <w:lang w:val="cs-CZ"/>
          <w:spacing w:val="-1"/>
          <w:w w:val="110"/>
          <w:strike w:val="false"/>
          <w:vertAlign w:val="baseline"/>
          <w:rFonts w:ascii="Times New Roman" w:hAnsi="Times New Roman"/>
        </w:rPr>
        <w:t xml:space="preserve">.</w:t>
      </w:r>
    </w:p>
    <w:sectPr>
      <w:pgSz w:w="11918" w:h="16854" w:orient="portrait"/>
      <w:type w:val="nextPage"/>
      <w:textDirection w:val="lrTb"/>
      <w:pgMar w:bottom="9808" w:top="1827" w:right="1367" w:left="149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lowerLetter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-7"/>
        <w:w w:val="105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lowerLetter"/>
      <w:lvlText w:val="%1."/>
      <w:start w:val="4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-8"/>
        <w:w w:val="105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